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33F8B75" w14:textId="5F3552F9" w:rsidR="0078357A" w:rsidRPr="009A7666" w:rsidRDefault="00DE5948" w:rsidP="005D09CF">
      <w:pPr>
        <w:pStyle w:val="Caption"/>
        <w:spacing w:after="0" w:line="360" w:lineRule="auto"/>
        <w:jc w:val="center"/>
        <w:rPr>
          <w:b/>
          <w:bCs/>
          <w:i w:val="0"/>
          <w:iCs w:val="0"/>
          <w:color w:val="auto"/>
          <w:sz w:val="22"/>
          <w:szCs w:val="22"/>
        </w:rPr>
      </w:pPr>
      <w:bookmarkStart w:id="0" w:name="_Toc95306014"/>
      <w:r w:rsidRPr="009A7666">
        <w:rPr>
          <w:b/>
          <w:bCs/>
          <w:i w:val="0"/>
          <w:iCs w:val="0"/>
          <w:color w:val="auto"/>
          <w:sz w:val="22"/>
          <w:szCs w:val="22"/>
        </w:rPr>
        <w:t xml:space="preserve">FIXED EFFECT MODELING </w:t>
      </w:r>
      <w:r w:rsidR="00E6439E" w:rsidRPr="009A7666">
        <w:rPr>
          <w:b/>
          <w:bCs/>
          <w:i w:val="0"/>
          <w:iCs w:val="0"/>
          <w:color w:val="auto"/>
          <w:sz w:val="22"/>
          <w:szCs w:val="22"/>
        </w:rPr>
        <w:t xml:space="preserve">ON </w:t>
      </w:r>
      <w:r w:rsidRPr="009A7666">
        <w:rPr>
          <w:b/>
          <w:bCs/>
          <w:i w:val="0"/>
          <w:iCs w:val="0"/>
          <w:color w:val="auto"/>
          <w:sz w:val="22"/>
          <w:szCs w:val="22"/>
        </w:rPr>
        <w:t xml:space="preserve">HOW MARKET VALUE RATIOS AFFECT STOCK PRICE VOLATILITIES </w:t>
      </w:r>
      <w:r w:rsidR="00E6439E" w:rsidRPr="009A7666">
        <w:rPr>
          <w:b/>
          <w:bCs/>
          <w:i w:val="0"/>
          <w:iCs w:val="0"/>
          <w:color w:val="auto"/>
          <w:sz w:val="22"/>
          <w:szCs w:val="22"/>
        </w:rPr>
        <w:t>OF</w:t>
      </w:r>
      <w:r w:rsidRPr="009A7666">
        <w:rPr>
          <w:b/>
          <w:bCs/>
          <w:i w:val="0"/>
          <w:iCs w:val="0"/>
          <w:color w:val="auto"/>
          <w:sz w:val="22"/>
          <w:szCs w:val="22"/>
        </w:rPr>
        <w:t xml:space="preserve"> FIRMS LISTED IN KENYA’S STOCK MARKET</w:t>
      </w:r>
    </w:p>
    <w:p w14:paraId="5C7EBDBD" w14:textId="77777777" w:rsidR="002C7E7D" w:rsidRDefault="002C7E7D" w:rsidP="002C7E7D">
      <w:pPr>
        <w:spacing w:after="0"/>
        <w:jc w:val="center"/>
        <w:rPr>
          <w:rFonts w:cs="Times New Roman"/>
        </w:rPr>
      </w:pPr>
      <w:r w:rsidRPr="005122CB">
        <w:rPr>
          <w:rFonts w:cs="Times New Roman"/>
          <w:b/>
          <w:bCs/>
          <w:szCs w:val="24"/>
          <w:vertAlign w:val="superscript"/>
        </w:rPr>
        <w:t>1</w:t>
      </w:r>
      <w:r w:rsidRPr="005122CB">
        <w:rPr>
          <w:rFonts w:cs="Times New Roman"/>
        </w:rPr>
        <w:t xml:space="preserve"> </w:t>
      </w:r>
      <w:r>
        <w:rPr>
          <w:rFonts w:cs="Times New Roman"/>
        </w:rPr>
        <w:t xml:space="preserve">Joseph </w:t>
      </w:r>
      <w:proofErr w:type="spellStart"/>
      <w:r>
        <w:rPr>
          <w:rFonts w:cs="Times New Roman"/>
        </w:rPr>
        <w:t>Angote</w:t>
      </w:r>
      <w:proofErr w:type="spellEnd"/>
      <w:r>
        <w:rPr>
          <w:rFonts w:cs="Times New Roman"/>
        </w:rPr>
        <w:t xml:space="preserve"> Wanda</w:t>
      </w:r>
    </w:p>
    <w:p w14:paraId="2023447B" w14:textId="77777777" w:rsidR="002C7E7D" w:rsidRPr="005122CB" w:rsidRDefault="002C7E7D" w:rsidP="002C7E7D">
      <w:pPr>
        <w:spacing w:after="0" w:line="240" w:lineRule="auto"/>
        <w:jc w:val="center"/>
        <w:rPr>
          <w:rFonts w:cs="Times New Roman"/>
        </w:rPr>
      </w:pPr>
      <w:proofErr w:type="spellStart"/>
      <w:r w:rsidRPr="005122CB">
        <w:rPr>
          <w:rFonts w:cs="Times New Roman"/>
          <w:szCs w:val="24"/>
        </w:rPr>
        <w:t>Moi</w:t>
      </w:r>
      <w:proofErr w:type="spellEnd"/>
      <w:r w:rsidRPr="005122CB">
        <w:rPr>
          <w:rFonts w:cs="Times New Roman"/>
          <w:szCs w:val="24"/>
        </w:rPr>
        <w:t xml:space="preserve"> University</w:t>
      </w:r>
      <w:r w:rsidRPr="005122CB">
        <w:rPr>
          <w:rFonts w:cs="Times New Roman"/>
        </w:rPr>
        <w:t>, Department of Accounting and Finance</w:t>
      </w:r>
    </w:p>
    <w:p w14:paraId="4BF88688" w14:textId="77777777" w:rsidR="002C7E7D" w:rsidRPr="005122CB" w:rsidRDefault="002C7E7D" w:rsidP="002C7E7D">
      <w:pPr>
        <w:spacing w:after="0" w:line="240" w:lineRule="auto"/>
        <w:jc w:val="center"/>
        <w:rPr>
          <w:rFonts w:cs="Times New Roman"/>
          <w:szCs w:val="24"/>
        </w:rPr>
      </w:pPr>
    </w:p>
    <w:p w14:paraId="184DE3DA" w14:textId="77777777" w:rsidR="002C7E7D" w:rsidRPr="005122CB" w:rsidRDefault="002C7E7D" w:rsidP="002C7E7D">
      <w:pPr>
        <w:spacing w:after="0" w:line="240" w:lineRule="auto"/>
        <w:jc w:val="center"/>
        <w:rPr>
          <w:rFonts w:cs="Times New Roman"/>
          <w:szCs w:val="24"/>
        </w:rPr>
      </w:pPr>
      <w:r w:rsidRPr="005122CB">
        <w:rPr>
          <w:rFonts w:cs="Times New Roman"/>
          <w:szCs w:val="24"/>
          <w:vertAlign w:val="superscript"/>
        </w:rPr>
        <w:t>2</w:t>
      </w:r>
      <w:r w:rsidRPr="005122CB">
        <w:rPr>
          <w:rFonts w:cs="Times New Roman"/>
        </w:rPr>
        <w:t xml:space="preserve"> Joel </w:t>
      </w:r>
      <w:proofErr w:type="spellStart"/>
      <w:r w:rsidRPr="005122CB">
        <w:rPr>
          <w:rFonts w:cs="Times New Roman"/>
        </w:rPr>
        <w:t>Tenai</w:t>
      </w:r>
      <w:proofErr w:type="spellEnd"/>
    </w:p>
    <w:p w14:paraId="7F2AF0DE" w14:textId="77777777" w:rsidR="002C7E7D" w:rsidRPr="005122CB" w:rsidRDefault="002C7E7D" w:rsidP="002C7E7D">
      <w:pPr>
        <w:spacing w:after="0" w:line="240" w:lineRule="auto"/>
        <w:jc w:val="center"/>
        <w:rPr>
          <w:rFonts w:cs="Times New Roman"/>
        </w:rPr>
      </w:pPr>
      <w:proofErr w:type="spellStart"/>
      <w:r w:rsidRPr="005122CB">
        <w:rPr>
          <w:rFonts w:cs="Times New Roman"/>
          <w:szCs w:val="24"/>
        </w:rPr>
        <w:t>Moi</w:t>
      </w:r>
      <w:proofErr w:type="spellEnd"/>
      <w:r w:rsidRPr="005122CB">
        <w:rPr>
          <w:rFonts w:cs="Times New Roman"/>
          <w:szCs w:val="24"/>
        </w:rPr>
        <w:t xml:space="preserve"> University</w:t>
      </w:r>
      <w:r w:rsidRPr="005122CB">
        <w:rPr>
          <w:rFonts w:cs="Times New Roman"/>
        </w:rPr>
        <w:t>, Department of Accounting and Finance</w:t>
      </w:r>
    </w:p>
    <w:p w14:paraId="2D676A36" w14:textId="77777777" w:rsidR="002C7E7D" w:rsidRPr="005122CB" w:rsidRDefault="002C7E7D" w:rsidP="002C7E7D">
      <w:pPr>
        <w:spacing w:after="0" w:line="240" w:lineRule="auto"/>
        <w:jc w:val="center"/>
        <w:rPr>
          <w:rFonts w:cs="Times New Roman"/>
        </w:rPr>
      </w:pPr>
    </w:p>
    <w:p w14:paraId="7362734E" w14:textId="77777777" w:rsidR="002C7E7D" w:rsidRPr="005122CB" w:rsidRDefault="002C7E7D" w:rsidP="002C7E7D">
      <w:pPr>
        <w:spacing w:after="0" w:line="240" w:lineRule="auto"/>
        <w:jc w:val="center"/>
        <w:rPr>
          <w:rFonts w:cs="Times New Roman"/>
        </w:rPr>
      </w:pPr>
      <w:r w:rsidRPr="005122CB">
        <w:rPr>
          <w:rFonts w:cs="Times New Roman"/>
          <w:szCs w:val="24"/>
          <w:vertAlign w:val="superscript"/>
        </w:rPr>
        <w:t>3</w:t>
      </w:r>
      <w:r w:rsidRPr="005122CB">
        <w:rPr>
          <w:rFonts w:cs="Times New Roman"/>
        </w:rPr>
        <w:t xml:space="preserve"> Andrew </w:t>
      </w:r>
      <w:proofErr w:type="spellStart"/>
      <w:r w:rsidRPr="005122CB">
        <w:rPr>
          <w:rFonts w:cs="Times New Roman"/>
        </w:rPr>
        <w:t>Kimwolo</w:t>
      </w:r>
      <w:proofErr w:type="spellEnd"/>
    </w:p>
    <w:p w14:paraId="22EE6170" w14:textId="77777777" w:rsidR="002C7E7D" w:rsidRPr="005122CB" w:rsidRDefault="002C7E7D" w:rsidP="002C7E7D">
      <w:pPr>
        <w:spacing w:line="240" w:lineRule="auto"/>
        <w:jc w:val="center"/>
        <w:rPr>
          <w:rFonts w:cs="Times New Roman"/>
        </w:rPr>
      </w:pPr>
      <w:proofErr w:type="spellStart"/>
      <w:r w:rsidRPr="005122CB">
        <w:rPr>
          <w:rFonts w:cs="Times New Roman"/>
          <w:szCs w:val="24"/>
        </w:rPr>
        <w:t>Moi</w:t>
      </w:r>
      <w:proofErr w:type="spellEnd"/>
      <w:r w:rsidRPr="005122CB">
        <w:rPr>
          <w:rFonts w:cs="Times New Roman"/>
          <w:szCs w:val="24"/>
        </w:rPr>
        <w:t xml:space="preserve"> University</w:t>
      </w:r>
      <w:r w:rsidRPr="005122CB">
        <w:rPr>
          <w:rFonts w:cs="Times New Roman"/>
        </w:rPr>
        <w:t>, Department of Management and Entrepreneurship</w:t>
      </w:r>
    </w:p>
    <w:p w14:paraId="639BA7FB" w14:textId="674188F6" w:rsidR="0078357A" w:rsidRPr="009A7666" w:rsidRDefault="0078357A" w:rsidP="005D09CF">
      <w:pPr>
        <w:spacing w:after="0"/>
        <w:jc w:val="center"/>
        <w:rPr>
          <w:rFonts w:cs="Times New Roman"/>
          <w:szCs w:val="24"/>
        </w:rPr>
      </w:pPr>
      <w:r w:rsidRPr="009A7666">
        <w:rPr>
          <w:rFonts w:cs="Times New Roman"/>
          <w:szCs w:val="24"/>
        </w:rPr>
        <w:t xml:space="preserve">E-mail: </w:t>
      </w:r>
      <w:r w:rsidRPr="0070623A">
        <w:rPr>
          <w:rFonts w:cs="Times New Roman"/>
          <w:color w:val="7030A0"/>
          <w:szCs w:val="24"/>
        </w:rPr>
        <w:t>joswanda.jw@gmail.com</w:t>
      </w:r>
      <w:bookmarkStart w:id="1" w:name="_GoBack"/>
      <w:bookmarkEnd w:id="1"/>
    </w:p>
    <w:p w14:paraId="658828D7" w14:textId="58C8E8DC" w:rsidR="0078357A" w:rsidRPr="009A7666" w:rsidRDefault="0078357A" w:rsidP="005D09CF">
      <w:pPr>
        <w:pBdr>
          <w:bottom w:val="single" w:sz="4" w:space="1" w:color="auto"/>
        </w:pBdr>
        <w:tabs>
          <w:tab w:val="left" w:pos="1530"/>
        </w:tabs>
        <w:spacing w:after="0" w:line="240" w:lineRule="auto"/>
        <w:rPr>
          <w:rFonts w:cs="Times New Roman"/>
          <w:szCs w:val="24"/>
        </w:rPr>
      </w:pPr>
      <w:r w:rsidRPr="009A7666">
        <w:rPr>
          <w:b/>
          <w:bCs/>
        </w:rPr>
        <w:t xml:space="preserve">Abstract: </w:t>
      </w:r>
      <w:r w:rsidR="00413E58" w:rsidRPr="009A7666">
        <w:rPr>
          <w:rFonts w:cs="Times New Roman"/>
          <w:szCs w:val="24"/>
        </w:rPr>
        <w:t xml:space="preserve">Most of the studies on stock price volatility have generally concentrated on macro-economic variables and accounting ratios, but little has been done on market value ratios. Market value ratios are important for both investors and management as these ratios are used to decide whether the valuation of the shares are overvalued, undervalued or at par with the market. These ratios are used for making investment decisions in stocks of companies. It is therefore the main aim of the </w:t>
      </w:r>
      <w:r w:rsidR="00E13B8F" w:rsidRPr="009A7666">
        <w:rPr>
          <w:rFonts w:cs="Times New Roman"/>
          <w:szCs w:val="24"/>
        </w:rPr>
        <w:t>study t</w:t>
      </w:r>
      <w:r w:rsidR="00413E58" w:rsidRPr="009A7666">
        <w:rPr>
          <w:rFonts w:cs="Times New Roman"/>
          <w:szCs w:val="24"/>
        </w:rPr>
        <w:t>o high</w:t>
      </w:r>
      <w:r w:rsidR="00E13B8F" w:rsidRPr="009A7666">
        <w:rPr>
          <w:rFonts w:cs="Times New Roman"/>
          <w:szCs w:val="24"/>
        </w:rPr>
        <w:t xml:space="preserve">light some of the key factors that affects stock prices variability specifically for firms listed in Nairobi Security Exchange (Kenya’s Stock Market). For purpose of forecasting and </w:t>
      </w:r>
      <w:r w:rsidR="00501EA2" w:rsidRPr="009A7666">
        <w:rPr>
          <w:rFonts w:cs="Times New Roman"/>
          <w:szCs w:val="24"/>
        </w:rPr>
        <w:t xml:space="preserve">deep </w:t>
      </w:r>
      <w:r w:rsidR="00E13B8F" w:rsidRPr="009A7666">
        <w:rPr>
          <w:rFonts w:cs="Times New Roman"/>
          <w:szCs w:val="24"/>
        </w:rPr>
        <w:t>understanding</w:t>
      </w:r>
      <w:r w:rsidR="00501EA2" w:rsidRPr="009A7666">
        <w:rPr>
          <w:rFonts w:cs="Times New Roman"/>
          <w:szCs w:val="24"/>
        </w:rPr>
        <w:t xml:space="preserve"> of</w:t>
      </w:r>
      <w:r w:rsidR="00E13B8F" w:rsidRPr="009A7666">
        <w:rPr>
          <w:rFonts w:cs="Times New Roman"/>
          <w:szCs w:val="24"/>
        </w:rPr>
        <w:t xml:space="preserve"> these factors, Fixed effect econometric model was estimated. </w:t>
      </w:r>
      <w:r w:rsidR="00C737FD" w:rsidRPr="009A7666">
        <w:rPr>
          <w:rFonts w:cs="Times New Roman"/>
          <w:szCs w:val="24"/>
        </w:rPr>
        <w:t>This is because, fixed effect</w:t>
      </w:r>
      <w:r w:rsidR="00B81718" w:rsidRPr="009A7666">
        <w:rPr>
          <w:rFonts w:cs="Times New Roman"/>
          <w:szCs w:val="24"/>
        </w:rPr>
        <w:t xml:space="preserve"> model is</w:t>
      </w:r>
      <w:r w:rsidR="00C737FD" w:rsidRPr="009A7666">
        <w:rPr>
          <w:rFonts w:cs="Times New Roman"/>
          <w:szCs w:val="24"/>
        </w:rPr>
        <w:t xml:space="preserve"> the </w:t>
      </w:r>
      <w:r w:rsidR="00B81718" w:rsidRPr="009A7666">
        <w:rPr>
          <w:rFonts w:cs="Times New Roman"/>
          <w:szCs w:val="24"/>
        </w:rPr>
        <w:t>most used</w:t>
      </w:r>
      <w:r w:rsidR="00C737FD" w:rsidRPr="009A7666">
        <w:rPr>
          <w:rFonts w:cs="Times New Roman"/>
          <w:szCs w:val="24"/>
        </w:rPr>
        <w:t xml:space="preserve"> model for panel data that addresses the issue of individual-specific factors that are unobserved and are heterogeneous which brings biasedness and inconsistences in a pooled OLS model. From the results </w:t>
      </w:r>
      <w:r w:rsidR="00B81718" w:rsidRPr="009A7666">
        <w:rPr>
          <w:rFonts w:cs="Times New Roman"/>
          <w:szCs w:val="24"/>
        </w:rPr>
        <w:t xml:space="preserve">market price book value, earnings per share, book value per share, dividend yield and institutional ownership of stocks significantly and negatively influenced stock prices volatilities. </w:t>
      </w:r>
    </w:p>
    <w:p w14:paraId="3393A615" w14:textId="4A86602E" w:rsidR="0078357A" w:rsidRPr="009A7666" w:rsidRDefault="0078357A" w:rsidP="005D09CF">
      <w:pPr>
        <w:spacing w:after="0"/>
        <w:rPr>
          <w:b/>
          <w:bCs/>
          <w:sz w:val="20"/>
          <w:szCs w:val="18"/>
        </w:rPr>
      </w:pPr>
      <w:r w:rsidRPr="009A7666">
        <w:rPr>
          <w:b/>
          <w:bCs/>
        </w:rPr>
        <w:t xml:space="preserve">KEY WORDS: </w:t>
      </w:r>
      <w:r w:rsidRPr="009A7666">
        <w:rPr>
          <w:b/>
          <w:bCs/>
          <w:sz w:val="20"/>
          <w:szCs w:val="18"/>
        </w:rPr>
        <w:t>STOCK PRICE, MARKET VALUE RATIOS</w:t>
      </w:r>
      <w:r w:rsidR="00B81718" w:rsidRPr="009A7666">
        <w:rPr>
          <w:b/>
          <w:bCs/>
          <w:sz w:val="20"/>
          <w:szCs w:val="18"/>
        </w:rPr>
        <w:t xml:space="preserve">, </w:t>
      </w:r>
      <w:r w:rsidR="00FF10B4" w:rsidRPr="009A7666">
        <w:rPr>
          <w:b/>
          <w:bCs/>
          <w:sz w:val="20"/>
          <w:szCs w:val="18"/>
        </w:rPr>
        <w:t>FIXED EFFECT MODELLING</w:t>
      </w:r>
    </w:p>
    <w:p w14:paraId="34ABE3E4" w14:textId="7E8EC19B" w:rsidR="00FA2D36" w:rsidRPr="009A7666" w:rsidRDefault="00FA2D36" w:rsidP="004C434F">
      <w:pPr>
        <w:pStyle w:val="ListParagraph"/>
        <w:numPr>
          <w:ilvl w:val="0"/>
          <w:numId w:val="1"/>
        </w:numPr>
        <w:tabs>
          <w:tab w:val="left" w:pos="1530"/>
        </w:tabs>
        <w:spacing w:before="240"/>
        <w:rPr>
          <w:rFonts w:cs="Times New Roman"/>
          <w:b/>
          <w:bCs/>
          <w:szCs w:val="24"/>
        </w:rPr>
      </w:pPr>
      <w:r w:rsidRPr="009A7666">
        <w:rPr>
          <w:rFonts w:cs="Times New Roman"/>
          <w:b/>
          <w:bCs/>
          <w:szCs w:val="24"/>
        </w:rPr>
        <w:t>Background information of the Study</w:t>
      </w:r>
    </w:p>
    <w:p w14:paraId="307DF9E4" w14:textId="77777777" w:rsidR="007F5ECB" w:rsidRPr="009A7666" w:rsidRDefault="005C579B" w:rsidP="003E6B22">
      <w:r w:rsidRPr="009A7666">
        <w:t xml:space="preserve">Market volatility was identified as a significant challenge for Kenya's Nairobi Securities Exchange. According to a Capital Market Authority report (2007), investors should certainly understand the concept of risk and return, as well as the fact that share prices can rise and fall. According to the Kenya Financial Sector Stability Report (2010), the Nairobi Securities Exchange experienced volatility from 2008 to 2010. </w:t>
      </w:r>
      <w:r w:rsidR="007F5ECB" w:rsidRPr="009A7666">
        <w:t xml:space="preserve">Furthermore, the Financial Sector Regulators Forum of September 2017 reported thin liquidity in the market with increased concentration risks, with the top five (5) stocks accounting for 64 percent of market capitalization in 2016 and stock price volatility being very high. According to the Nairobi Securities Exchange (2011) report, the Nairobi Securities Exchange experienced extreme volatility in the last six months of 2011. The trend continued through 2021, as shown in Figure 1.1. </w:t>
      </w:r>
    </w:p>
    <w:p w14:paraId="39BF2890" w14:textId="5797044E" w:rsidR="005D09CF" w:rsidRPr="009A7666" w:rsidRDefault="007F5ECB" w:rsidP="003E6B22">
      <w:r w:rsidRPr="009A7666">
        <w:lastRenderedPageBreak/>
        <w:t>According to Adjei (2015), international equity investors primarily consider the rate at which stock prices and the destination currency change over time when allocating portfolios. Accounting ratios, according to Ahmed (2018), are one of the financial analysis techniques used by financial analysts and investors. Furthermore, Arkan (2016) concluded that investors rely on a set of financial ratios for each sector to predict stock price trends, and decision makers of such investors can rely on the financial analysis presented by the financial ratios when making financial and operational decisions.</w:t>
      </w:r>
    </w:p>
    <w:p w14:paraId="15846939" w14:textId="77777777" w:rsidR="0078357A" w:rsidRPr="009A7666" w:rsidRDefault="0078357A" w:rsidP="005D09CF">
      <w:pPr>
        <w:tabs>
          <w:tab w:val="left" w:pos="1530"/>
        </w:tabs>
        <w:spacing w:after="0"/>
        <w:rPr>
          <w:rFonts w:cs="Times New Roman"/>
          <w:szCs w:val="24"/>
        </w:rPr>
      </w:pPr>
      <w:r w:rsidRPr="009A7666">
        <w:rPr>
          <w:rFonts w:cs="Times New Roman"/>
          <w:noProof/>
          <w:szCs w:val="24"/>
        </w:rPr>
        <w:drawing>
          <wp:inline distT="0" distB="0" distL="0" distR="0" wp14:anchorId="27CFC532" wp14:editId="68CCE568">
            <wp:extent cx="5612130" cy="3188335"/>
            <wp:effectExtent l="0" t="0" r="762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Stock Price Volatility Trend.png"/>
                    <pic:cNvPicPr/>
                  </pic:nvPicPr>
                  <pic:blipFill>
                    <a:blip r:embed="rId5">
                      <a:extLst>
                        <a:ext uri="{28A0092B-C50C-407E-A947-70E740481C1C}">
                          <a14:useLocalDpi xmlns:a14="http://schemas.microsoft.com/office/drawing/2010/main" val="0"/>
                        </a:ext>
                      </a:extLst>
                    </a:blip>
                    <a:stretch>
                      <a:fillRect/>
                    </a:stretch>
                  </pic:blipFill>
                  <pic:spPr>
                    <a:xfrm>
                      <a:off x="0" y="0"/>
                      <a:ext cx="5612130" cy="3188335"/>
                    </a:xfrm>
                    <a:prstGeom prst="rect">
                      <a:avLst/>
                    </a:prstGeom>
                  </pic:spPr>
                </pic:pic>
              </a:graphicData>
            </a:graphic>
          </wp:inline>
        </w:drawing>
      </w:r>
    </w:p>
    <w:p w14:paraId="13C578B1" w14:textId="77777777" w:rsidR="0078357A" w:rsidRPr="009A7666" w:rsidRDefault="0078357A" w:rsidP="005D09CF">
      <w:pPr>
        <w:pStyle w:val="Caption"/>
        <w:spacing w:after="0" w:line="360" w:lineRule="auto"/>
        <w:rPr>
          <w:b/>
          <w:bCs/>
          <w:i w:val="0"/>
          <w:iCs w:val="0"/>
          <w:color w:val="auto"/>
          <w:sz w:val="24"/>
          <w:szCs w:val="24"/>
        </w:rPr>
      </w:pPr>
      <w:bookmarkStart w:id="2" w:name="_Toc95306036"/>
      <w:r w:rsidRPr="009A7666">
        <w:rPr>
          <w:b/>
          <w:bCs/>
          <w:i w:val="0"/>
          <w:iCs w:val="0"/>
          <w:color w:val="auto"/>
          <w:sz w:val="24"/>
          <w:szCs w:val="24"/>
        </w:rPr>
        <w:t xml:space="preserve">Figure 1. </w:t>
      </w:r>
      <w:r w:rsidRPr="009A7666">
        <w:rPr>
          <w:b/>
          <w:bCs/>
          <w:i w:val="0"/>
          <w:iCs w:val="0"/>
          <w:color w:val="auto"/>
          <w:sz w:val="24"/>
          <w:szCs w:val="24"/>
        </w:rPr>
        <w:fldChar w:fldCharType="begin"/>
      </w:r>
      <w:r w:rsidRPr="009A7666">
        <w:rPr>
          <w:b/>
          <w:bCs/>
          <w:i w:val="0"/>
          <w:iCs w:val="0"/>
          <w:color w:val="auto"/>
          <w:sz w:val="24"/>
          <w:szCs w:val="24"/>
        </w:rPr>
        <w:instrText xml:space="preserve"> SEQ Figure_1. \* ARABIC </w:instrText>
      </w:r>
      <w:r w:rsidRPr="009A7666">
        <w:rPr>
          <w:b/>
          <w:bCs/>
          <w:i w:val="0"/>
          <w:iCs w:val="0"/>
          <w:color w:val="auto"/>
          <w:sz w:val="24"/>
          <w:szCs w:val="24"/>
        </w:rPr>
        <w:fldChar w:fldCharType="separate"/>
      </w:r>
      <w:r w:rsidRPr="009A7666">
        <w:rPr>
          <w:b/>
          <w:bCs/>
          <w:i w:val="0"/>
          <w:iCs w:val="0"/>
          <w:noProof/>
          <w:color w:val="auto"/>
          <w:sz w:val="24"/>
          <w:szCs w:val="24"/>
        </w:rPr>
        <w:t>1</w:t>
      </w:r>
      <w:r w:rsidRPr="009A7666">
        <w:rPr>
          <w:b/>
          <w:bCs/>
          <w:i w:val="0"/>
          <w:iCs w:val="0"/>
          <w:color w:val="auto"/>
          <w:sz w:val="24"/>
          <w:szCs w:val="24"/>
        </w:rPr>
        <w:fldChar w:fldCharType="end"/>
      </w:r>
      <w:r w:rsidRPr="009A7666">
        <w:rPr>
          <w:b/>
          <w:bCs/>
          <w:i w:val="0"/>
          <w:iCs w:val="0"/>
          <w:color w:val="auto"/>
          <w:sz w:val="24"/>
          <w:szCs w:val="24"/>
        </w:rPr>
        <w:t>: Stock Price Volatility (2008-2021)</w:t>
      </w:r>
      <w:bookmarkEnd w:id="2"/>
    </w:p>
    <w:p w14:paraId="19B3CEA2" w14:textId="77777777" w:rsidR="0078357A" w:rsidRPr="009A7666" w:rsidRDefault="0078357A" w:rsidP="005D09CF">
      <w:pPr>
        <w:tabs>
          <w:tab w:val="left" w:pos="1530"/>
        </w:tabs>
        <w:spacing w:after="0"/>
        <w:rPr>
          <w:rFonts w:cs="Times New Roman"/>
          <w:b/>
          <w:szCs w:val="24"/>
        </w:rPr>
      </w:pPr>
      <w:r w:rsidRPr="009A7666">
        <w:rPr>
          <w:rFonts w:cs="Times New Roman"/>
          <w:b/>
          <w:szCs w:val="24"/>
        </w:rPr>
        <w:t>Source: Trading Economics (2020) https://tradingeconomics.com/kenya/stock-market</w:t>
      </w:r>
    </w:p>
    <w:p w14:paraId="531EAD63" w14:textId="77777777" w:rsidR="004A64A9" w:rsidRPr="009A7666" w:rsidRDefault="004A64A9" w:rsidP="00FF10B4">
      <w:r w:rsidRPr="009A7666">
        <w:t xml:space="preserve">Most empirical studies on stock price volatility have focused on macroeconomic variables and accounting ratios (Kirui et al., 2014; </w:t>
      </w:r>
      <w:proofErr w:type="spellStart"/>
      <w:r w:rsidRPr="009A7666">
        <w:t>Kisaka</w:t>
      </w:r>
      <w:proofErr w:type="spellEnd"/>
      <w:r w:rsidRPr="009A7666">
        <w:t xml:space="preserve"> &amp; </w:t>
      </w:r>
      <w:proofErr w:type="spellStart"/>
      <w:r w:rsidRPr="009A7666">
        <w:t>Mwasaru</w:t>
      </w:r>
      <w:proofErr w:type="spellEnd"/>
      <w:r w:rsidRPr="009A7666">
        <w:t xml:space="preserve">, 2012; </w:t>
      </w:r>
      <w:proofErr w:type="spellStart"/>
      <w:r w:rsidRPr="009A7666">
        <w:t>Aroni</w:t>
      </w:r>
      <w:proofErr w:type="spellEnd"/>
      <w:r w:rsidRPr="009A7666">
        <w:t xml:space="preserve">, 2011; </w:t>
      </w:r>
      <w:proofErr w:type="spellStart"/>
      <w:r w:rsidRPr="009A7666">
        <w:t>Onyango</w:t>
      </w:r>
      <w:proofErr w:type="spellEnd"/>
      <w:r w:rsidRPr="009A7666">
        <w:t xml:space="preserve">, 2018; </w:t>
      </w:r>
      <w:proofErr w:type="spellStart"/>
      <w:r w:rsidRPr="009A7666">
        <w:t>Olweny</w:t>
      </w:r>
      <w:proofErr w:type="spellEnd"/>
      <w:r w:rsidRPr="009A7666">
        <w:t xml:space="preserve"> et al., 2011; </w:t>
      </w:r>
      <w:proofErr w:type="spellStart"/>
      <w:r w:rsidRPr="009A7666">
        <w:t>Ouma</w:t>
      </w:r>
      <w:proofErr w:type="spellEnd"/>
      <w:r w:rsidRPr="009A7666">
        <w:t xml:space="preserve"> &amp; </w:t>
      </w:r>
      <w:proofErr w:type="spellStart"/>
      <w:r w:rsidRPr="009A7666">
        <w:t>Muriu</w:t>
      </w:r>
      <w:proofErr w:type="spellEnd"/>
      <w:r w:rsidRPr="009A7666">
        <w:t xml:space="preserve">, 2014), but little on market value ratios has been done. According to Vagner (2020), market value ratios are important for both investors and management because they are used to determine whether the share valuation is overvalued, undervalued, or on par with the market. These ratios are used to make investment decisions in company stocks. According to Prasad and </w:t>
      </w:r>
      <w:proofErr w:type="spellStart"/>
      <w:r w:rsidRPr="009A7666">
        <w:t>Shrimal</w:t>
      </w:r>
      <w:proofErr w:type="spellEnd"/>
      <w:r w:rsidRPr="009A7666">
        <w:t xml:space="preserve"> (2015), market value ratios are accounting ratios used to evaluate the current share price of a publicly traded firm's stock.</w:t>
      </w:r>
    </w:p>
    <w:p w14:paraId="0313A3FA" w14:textId="076C3F7A" w:rsidR="0078357A" w:rsidRPr="009A7666" w:rsidRDefault="0078357A" w:rsidP="00FF10B4">
      <w:r w:rsidRPr="009A7666">
        <w:t xml:space="preserve"> </w:t>
      </w:r>
      <w:r w:rsidR="004A64A9" w:rsidRPr="009A7666">
        <w:t xml:space="preserve">Al-Manaseer (2020) discovered that combined market value ratios have an effect on the stock prices of Jordanian industrial companies. Furthermore, Musallam (2018) discovered a positive and significant relationship between earnings per share (one of the market value ratios) and </w:t>
      </w:r>
      <w:r w:rsidR="004A64A9" w:rsidRPr="009A7666">
        <w:lastRenderedPageBreak/>
        <w:t xml:space="preserve">stock return, whereas the market to book value ratio (also a market value ratio) does not. Because market value ratios are used to make investment decisions, it is critical for the investor to understand them. There is little evidence on specific market value ratios in the Kenyan context. </w:t>
      </w:r>
      <w:r w:rsidRPr="009A7666">
        <w:t>This study aims at determining the impact of market value ratios on stock price volatility of firms listed on Nairobi Securities Exchange. It will also serve as reference for those who are interested to invest in stocks of listed firms on Nairobi securities exchange.</w:t>
      </w:r>
    </w:p>
    <w:p w14:paraId="5E244E79" w14:textId="77777777" w:rsidR="00274555" w:rsidRPr="009A7666" w:rsidRDefault="00274555" w:rsidP="00FF10B4">
      <w:pPr>
        <w:rPr>
          <w:rFonts w:cs="Times New Roman"/>
          <w:szCs w:val="24"/>
        </w:rPr>
      </w:pPr>
      <w:r w:rsidRPr="009A7666">
        <w:t>Large percentages of institutional ownership can cause significant volatility in stock prices, especially if the institutional investors buy and sell at the same time (</w:t>
      </w:r>
      <w:proofErr w:type="spellStart"/>
      <w:r w:rsidRPr="009A7666">
        <w:t>ElGhouti</w:t>
      </w:r>
      <w:proofErr w:type="spellEnd"/>
      <w:r w:rsidRPr="009A7666">
        <w:t xml:space="preserve">, 2015). The amount of a company's available stock owned by mutual or pension funds, insurance companies, investment firms, private foundations, endowments, or other large entities that manage funds on behalf of others is referred to as institutional ownership (Singh &amp; </w:t>
      </w:r>
      <w:proofErr w:type="spellStart"/>
      <w:r w:rsidRPr="009A7666">
        <w:t>Kansil</w:t>
      </w:r>
      <w:proofErr w:type="spellEnd"/>
      <w:r w:rsidRPr="009A7666">
        <w:t xml:space="preserve">, 2018). </w:t>
      </w:r>
      <w:r w:rsidRPr="009A7666">
        <w:rPr>
          <w:rFonts w:cs="Times New Roman"/>
          <w:szCs w:val="24"/>
        </w:rPr>
        <w:t>The institutional investors have principals to report to about how they manage their firms' resources, and as a result, they will conduct due diligence on their investment opportunities in other firms (Amos et al., 2016). Furthermore, institutional owners can deal with the asymmetric information and agency costs issues that frequently accompany dispersed stock ownership. As a result, institutional ownership can lead to improved corporate governance, which is associated with increased efficiency and, ultimately, an increase in shareholder wealth (Barrese et al., 2018).</w:t>
      </w:r>
    </w:p>
    <w:p w14:paraId="725E542A" w14:textId="64BD85EA" w:rsidR="004C434F" w:rsidRPr="009A7666" w:rsidRDefault="00274555" w:rsidP="00FF10B4">
      <w:r w:rsidRPr="009A7666">
        <w:t>Several studies have found a link between institutional ownership and stock price volatility (Rubin &amp; Smith, 2009; Chen</w:t>
      </w:r>
      <w:r w:rsidR="00F66B60" w:rsidRPr="009A7666">
        <w:t>g</w:t>
      </w:r>
      <w:r w:rsidRPr="009A7666">
        <w:t xml:space="preserve"> et al., 2013; </w:t>
      </w:r>
      <w:proofErr w:type="spellStart"/>
      <w:r w:rsidRPr="009A7666">
        <w:t>Jafarinejad</w:t>
      </w:r>
      <w:proofErr w:type="spellEnd"/>
      <w:r w:rsidRPr="009A7666">
        <w:t xml:space="preserve"> et al., 2015; Ni, 2017; Barinov, 2017). These studies have established a link between institutional ownership and stock price volatility, as well as the fact that institutional investors help to stabilize stock return volatility. They also conclude that institutional ownership is negatively correlated with stock price volatility, owing to institutional aversion to volatility on average. As a result, the purpose of this study was to investigate the existence effect institutional ownership </w:t>
      </w:r>
      <w:proofErr w:type="spellStart"/>
      <w:r w:rsidRPr="009A7666">
        <w:t>f</w:t>
      </w:r>
      <w:proofErr w:type="spellEnd"/>
      <w:r w:rsidRPr="009A7666">
        <w:t xml:space="preserve"> stock on stock price volatility in the Kenyan context. </w:t>
      </w:r>
    </w:p>
    <w:p w14:paraId="58EFE93F" w14:textId="7C67993A" w:rsidR="00FF10B4" w:rsidRPr="009A7666" w:rsidRDefault="00FF10B4" w:rsidP="00FF10B4">
      <w:pPr>
        <w:pStyle w:val="ListParagraph"/>
        <w:numPr>
          <w:ilvl w:val="0"/>
          <w:numId w:val="1"/>
        </w:numPr>
        <w:rPr>
          <w:b/>
          <w:bCs/>
        </w:rPr>
      </w:pPr>
      <w:r w:rsidRPr="009A7666">
        <w:rPr>
          <w:b/>
          <w:bCs/>
        </w:rPr>
        <w:t>Theoretical Review</w:t>
      </w:r>
    </w:p>
    <w:p w14:paraId="1227B647" w14:textId="5A8D86B4" w:rsidR="00771904" w:rsidRPr="009A7666" w:rsidRDefault="00771904" w:rsidP="005A13ED">
      <w:pPr>
        <w:rPr>
          <w:b/>
          <w:bCs/>
        </w:rPr>
      </w:pPr>
      <w:r w:rsidRPr="009A7666">
        <w:rPr>
          <w:b/>
          <w:bCs/>
        </w:rPr>
        <w:t>Signaling Theory</w:t>
      </w:r>
      <w:bookmarkStart w:id="3" w:name="qsh70q" w:colFirst="0" w:colLast="0"/>
      <w:bookmarkEnd w:id="3"/>
      <w:r w:rsidR="00FF10B4" w:rsidRPr="009A7666">
        <w:rPr>
          <w:b/>
          <w:bCs/>
        </w:rPr>
        <w:t xml:space="preserve">: </w:t>
      </w:r>
      <w:r w:rsidR="005A13ED" w:rsidRPr="009A7666">
        <w:t xml:space="preserve">The research is based on Andrew Michael Spence's Signaling theory, which he proposed in 1973. It is based on the concept of asymmetric information (a deviation from perfect information), which states that inequalities in access to information disrupt the normal market for the exchange of goods and services in some economic transactions. Though Miller and Modigliani (1961) assumed that investors and management have perfect knowledge of a </w:t>
      </w:r>
      <w:r w:rsidR="005A13ED" w:rsidRPr="009A7666">
        <w:lastRenderedPageBreak/>
        <w:t>firm, this has been challenged by many scholars, who believe that managers have more detailed and accurate information than outside investors (</w:t>
      </w:r>
      <w:proofErr w:type="spellStart"/>
      <w:r w:rsidR="005A13ED" w:rsidRPr="009A7666">
        <w:t>Hussainey</w:t>
      </w:r>
      <w:proofErr w:type="spellEnd"/>
      <w:r w:rsidR="005A13ED" w:rsidRPr="009A7666">
        <w:t>, 2011).</w:t>
      </w:r>
    </w:p>
    <w:p w14:paraId="12E01D7D" w14:textId="77777777" w:rsidR="005A13ED" w:rsidRPr="009A7666" w:rsidRDefault="005A13ED" w:rsidP="006E5721">
      <w:bookmarkStart w:id="4" w:name="3as4poj" w:colFirst="0" w:colLast="0"/>
      <w:bookmarkEnd w:id="4"/>
      <w:r w:rsidRPr="009A7666">
        <w:t>Spence (1973) proposed that two parties could avoid the problem of asymmetric information by having one send a signal that revealed some piece of relevant information to the other. That party would then interpret the signal and adjust her purchasing behavior, typically by offering a higher price than if the signal had not been received. Signaling theory can be used to describe behavior when two parties (individuals or organizations) have different levels of information. Typically, the sender must decide whether and how to communicate (or signal) that information, and the receiver must decide how to interpret the signal. The information content hypothesis is referred to as signaling theory (Butler et al., 2019).</w:t>
      </w:r>
    </w:p>
    <w:p w14:paraId="47EC03F2" w14:textId="03FD6CED" w:rsidR="00771904" w:rsidRPr="009A7666" w:rsidRDefault="00315673" w:rsidP="006E5721">
      <w:r w:rsidRPr="009A7666">
        <w:t xml:space="preserve">It is assumed that corporate announcements will contain information. Firms, in fact, communicate to demonstrate who they are. Managers, for example, use cash dividend announcements to signal changes in their expectations about the company's future prospects when markets are imperfect. A company's investment and financing decisions are made at the discretion of its management. It is argued that company executives use earnings as a signaling tool to convey information about their companies' prospects, and that if earnings convey useful information, this will be reflected in stock price volatility immediately following a public announcement, similar to dividends. </w:t>
      </w:r>
      <w:r w:rsidR="00771904" w:rsidRPr="009A7666">
        <w:t>.</w:t>
      </w:r>
      <w:r w:rsidRPr="009A7666">
        <w:t xml:space="preserve"> An increase in the number of shares issued by the company lowers the price of its shares; stock splits result in an increase in the number of shares issued and a decrease in share price, whereas issuing more debt instruments results in price increases. Stock splits are corporate actions that affect the number of shares outstanding and the price range of publicly traded companies, but not the company's market capitalization or the wealth of existing stockholders. As a result, by stock split companies increase the number of shares outstanding by a certain ratio, and the price per share falls by the same ratio (Melisa, 2013).</w:t>
      </w:r>
    </w:p>
    <w:p w14:paraId="571BA619" w14:textId="7CC60FE9" w:rsidR="00315673" w:rsidRPr="009A7666" w:rsidRDefault="00315673" w:rsidP="006E5721">
      <w:r w:rsidRPr="009A7666">
        <w:t xml:space="preserve">The most common stock split is a 2 for 1 (2:1) split, which means that the number of shares is doubled while the price per share is reduced by half, resulting in the same total market value for stockholders. Markets are rarely in balance, information has a cost, and it does not reach everyone at the same time. When a company announces its earnings or dividends, it sends a signal to investors, and if they react as expected, the share price of the listed company will be affected (Melisa, 2013). Though Miller and Modigliani (1961) assumed that investors and management have perfect knowledge of a firm, many researchers have argued that management </w:t>
      </w:r>
      <w:r w:rsidRPr="009A7666">
        <w:lastRenderedPageBreak/>
        <w:t>has more precise and timely information about the firm than outside investors. As a result, there is a schism between managers and investors; to bridge this schism, management employs dividends as a tool to convey private information to shareholders. The amount of dividends paid appears to carry a lot of information about a company's prospects, as evidenced by the movement of the share price (Ozo et al., 2019).</w:t>
      </w:r>
    </w:p>
    <w:p w14:paraId="555D5D8C" w14:textId="3BF934B7" w:rsidR="00315673" w:rsidRPr="009A7666" w:rsidRDefault="00315673" w:rsidP="006E5721">
      <w:r w:rsidRPr="009A7666">
        <w:t>According to Ahmad et al. (201</w:t>
      </w:r>
      <w:r w:rsidR="00B03023" w:rsidRPr="009A7666">
        <w:t>4</w:t>
      </w:r>
      <w:r w:rsidRPr="009A7666">
        <w:t>), and Nguyen et al. (2020), all investors have the same information about the firm and can understand and translate it in the same way, and managers and investors have the same information and, thus, the same expectations about the firm. Asymmetric information exists between market participants in real markets, however, and investors and managers have different information and expectations about the firm's future profitability and risk. Furthermore, managers are likely to have better information about the firm's future performance than outside investors, and they may use dividend policy to communicate this information to investors.</w:t>
      </w:r>
    </w:p>
    <w:p w14:paraId="6E2CC28A" w14:textId="5913D74F" w:rsidR="006E5721" w:rsidRPr="009A7666" w:rsidRDefault="006E5721" w:rsidP="006E5721">
      <w:pPr>
        <w:pStyle w:val="ListParagraph"/>
        <w:numPr>
          <w:ilvl w:val="0"/>
          <w:numId w:val="1"/>
        </w:numPr>
        <w:rPr>
          <w:b/>
          <w:bCs/>
        </w:rPr>
      </w:pPr>
      <w:r w:rsidRPr="009A7666">
        <w:rPr>
          <w:b/>
          <w:bCs/>
        </w:rPr>
        <w:t>Objective of the Study</w:t>
      </w:r>
    </w:p>
    <w:p w14:paraId="6937C58B" w14:textId="45193751" w:rsidR="006E5721" w:rsidRPr="009A7666" w:rsidRDefault="006E5721" w:rsidP="00F0006E">
      <w:r w:rsidRPr="009A7666">
        <w:t xml:space="preserve">This article is aimed at giving a deep understanding on how market values ratios could affect the stock price volatilities in Kenya’s stock markets by applying a fixed effects model. </w:t>
      </w:r>
    </w:p>
    <w:p w14:paraId="50D0AFBE" w14:textId="1F5B11A2" w:rsidR="004C434F" w:rsidRPr="009A7666" w:rsidRDefault="004C434F" w:rsidP="00F0006E">
      <w:pPr>
        <w:pStyle w:val="ListParagraph"/>
        <w:numPr>
          <w:ilvl w:val="0"/>
          <w:numId w:val="1"/>
        </w:numPr>
        <w:rPr>
          <w:b/>
          <w:bCs/>
        </w:rPr>
      </w:pPr>
      <w:r w:rsidRPr="009A7666">
        <w:rPr>
          <w:b/>
          <w:bCs/>
        </w:rPr>
        <w:t>Model Specification</w:t>
      </w:r>
    </w:p>
    <w:p w14:paraId="3069A81C" w14:textId="77777777" w:rsidR="00CA079B" w:rsidRPr="009A7666" w:rsidRDefault="00CA079B" w:rsidP="00F0006E">
      <w:pPr>
        <w:rPr>
          <w:rFonts w:cs="Times New Roman"/>
          <w:szCs w:val="24"/>
        </w:rPr>
      </w:pPr>
      <w:r w:rsidRPr="009A7666">
        <w:rPr>
          <w:rFonts w:cs="Times New Roman"/>
          <w:szCs w:val="24"/>
        </w:rPr>
        <w:t>The general structure of the defined fixed model can be restricted to allow for unit heterogeneity without implying the full generality (and impossibility) implied by equation 1. We could, for example, limit the slope coefficients to be constant over both units and time, while allowing for a variable intercept coefficient. The structure is yielded by an intercept varying over units for a given observation: the article began with estimation of models that satisfy the zero conditional mean assumption for OLS regression: that is, the conditional mean of the error process is zero when conditioned on the regressors. This does not eliminate non-</w:t>
      </w:r>
      <w:proofErr w:type="spellStart"/>
      <w:r w:rsidRPr="009A7666">
        <w:rPr>
          <w:rFonts w:cs="Times New Roman"/>
          <w:szCs w:val="24"/>
        </w:rPr>
        <w:t>i.i.d</w:t>
      </w:r>
      <w:proofErr w:type="spellEnd"/>
      <w:r w:rsidRPr="009A7666">
        <w:rPr>
          <w:rFonts w:cs="Times New Roman"/>
          <w:szCs w:val="24"/>
        </w:rPr>
        <w:t>. errors, but it does eliminate regressor endogeneity and the presence of lagged dependent variables.</w:t>
      </w:r>
    </w:p>
    <w:p w14:paraId="676E0D16" w14:textId="28F30D51" w:rsidR="00413E58" w:rsidRPr="009A7666" w:rsidRDefault="00580687" w:rsidP="00F0006E">
      <w:r w:rsidRPr="009A7666">
        <w:t xml:space="preserve">The fixed effects estimator, the most commonly used model for panel data, addresses the issue of unobserved heterogeneity in a pooled OLS model, regardless of how many individual-specific factors are included in the regressor list. As a result, OLS estimates are likely to be biased and inconsistent. Panel data analysis was used in this study. According to Torres-Reyna (2017), this type of analysis entails the long-term observation of entities such as countries, </w:t>
      </w:r>
      <w:r w:rsidRPr="009A7666">
        <w:lastRenderedPageBreak/>
        <w:t xml:space="preserve">businesses, and individuals. </w:t>
      </w:r>
      <w:r w:rsidR="004C434F" w:rsidRPr="009A7666">
        <w:t>With panel data, the researcher can control variables that cannot be measured, or variables that fluctuate over time. In the fixed effects model, the individual-specific effect is a random variable allowed to be correlated with the explanatory variables.</w:t>
      </w:r>
      <w:r w:rsidR="00745D79" w:rsidRPr="009A7666">
        <w:t xml:space="preserve"> </w:t>
      </w:r>
      <w:r w:rsidR="00481FAA" w:rsidRPr="009A7666">
        <w:t xml:space="preserve">A balanced panel is not required for the fixed effects estimator. It can be used as long as there are at least two observations per unit. However, because the individual fixed effect is essentially estimated from each unit's observations, the precision of that effect (and the resulting slope estimates) will be dependent on N (number of observations). </w:t>
      </w:r>
    </w:p>
    <w:p w14:paraId="59822F19" w14:textId="62C2D4E4" w:rsidR="00413E58" w:rsidRPr="009A7666" w:rsidRDefault="00413E58" w:rsidP="00F0006E">
      <w:r w:rsidRPr="009A7666">
        <w:t>The general empirical panel data model to be used in this study is defined as follows:</w:t>
      </w:r>
    </w:p>
    <w:p w14:paraId="7255B669" w14:textId="0CC9EA67" w:rsidR="00413E58" w:rsidRPr="009A7666" w:rsidRDefault="00DE1405" w:rsidP="001E082C">
      <w:pPr>
        <w:pStyle w:val="BodyText"/>
        <w:spacing w:line="480" w:lineRule="auto"/>
        <w:rPr>
          <w:sz w:val="24"/>
          <w:szCs w:val="24"/>
        </w:rPr>
      </w:pPr>
      <m:oMath>
        <m:sSub>
          <m:sSubPr>
            <m:ctrlPr>
              <w:rPr>
                <w:rFonts w:ascii="Cambria Math" w:hAnsi="Cambria Math"/>
                <w:i/>
                <w:sz w:val="24"/>
                <w:szCs w:val="24"/>
              </w:rPr>
            </m:ctrlPr>
          </m:sSubPr>
          <m:e>
            <m:r>
              <w:rPr>
                <w:rFonts w:ascii="Cambria Math" w:hAnsi="Cambria Math"/>
                <w:sz w:val="24"/>
                <w:szCs w:val="24"/>
              </w:rPr>
              <m:t>SPV</m:t>
            </m:r>
          </m:e>
          <m:sub>
            <m:r>
              <w:rPr>
                <w:rFonts w:ascii="Cambria Math" w:hAnsi="Cambria Math"/>
                <w:sz w:val="24"/>
                <w:szCs w:val="24"/>
              </w:rPr>
              <m:t>it</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β</m:t>
            </m:r>
          </m:e>
          <m:sub>
            <m:r>
              <w:rPr>
                <w:rFonts w:ascii="Cambria Math" w:hAnsi="Cambria Math"/>
                <w:sz w:val="24"/>
                <w:szCs w:val="24"/>
              </w:rPr>
              <m:t>0</m:t>
            </m:r>
          </m:sub>
        </m:sSub>
        <m:r>
          <w:rPr>
            <w:rFonts w:ascii="Cambria Math" w:hAnsi="Cambria Math"/>
            <w:sz w:val="24"/>
            <w:szCs w:val="24"/>
          </w:rPr>
          <m:t>+</m:t>
        </m:r>
        <m:sSub>
          <m:sSubPr>
            <m:ctrlPr>
              <w:rPr>
                <w:rFonts w:ascii="Cambria Math" w:hAnsi="Cambria Math"/>
                <w:i/>
                <w:sz w:val="24"/>
                <w:szCs w:val="24"/>
              </w:rPr>
            </m:ctrlPr>
          </m:sSubPr>
          <m:e>
            <m:sSub>
              <m:sSubPr>
                <m:ctrlPr>
                  <w:rPr>
                    <w:rFonts w:ascii="Cambria Math" w:hAnsi="Cambria Math"/>
                    <w:i/>
                    <w:sz w:val="24"/>
                    <w:szCs w:val="24"/>
                  </w:rPr>
                </m:ctrlPr>
              </m:sSubPr>
              <m:e>
                <m:r>
                  <w:rPr>
                    <w:rFonts w:ascii="Cambria Math" w:hAnsi="Cambria Math"/>
                    <w:sz w:val="24"/>
                    <w:szCs w:val="24"/>
                  </w:rPr>
                  <m:t>β</m:t>
                </m:r>
              </m:e>
              <m:sub>
                <m:r>
                  <w:rPr>
                    <w:rFonts w:ascii="Cambria Math" w:hAnsi="Cambria Math"/>
                    <w:sz w:val="24"/>
                    <w:szCs w:val="24"/>
                  </w:rPr>
                  <m:t>it</m:t>
                </m:r>
              </m:sub>
            </m:sSub>
            <m:r>
              <w:rPr>
                <w:rFonts w:ascii="Cambria Math" w:hAnsi="Cambria Math"/>
                <w:sz w:val="24"/>
                <w:szCs w:val="24"/>
              </w:rPr>
              <m:t>X</m:t>
            </m:r>
          </m:e>
          <m:sub>
            <m:r>
              <w:rPr>
                <w:rFonts w:ascii="Cambria Math" w:hAnsi="Cambria Math"/>
                <w:sz w:val="24"/>
                <w:szCs w:val="24"/>
              </w:rPr>
              <m:t>it</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βk</m:t>
            </m:r>
          </m:e>
          <m:sub>
            <m:r>
              <w:rPr>
                <w:rFonts w:ascii="Cambria Math" w:hAnsi="Cambria Math"/>
                <w:sz w:val="24"/>
                <w:szCs w:val="24"/>
              </w:rPr>
              <m:t>it</m:t>
            </m:r>
          </m:sub>
        </m:sSub>
        <m:sSub>
          <m:sSubPr>
            <m:ctrlPr>
              <w:rPr>
                <w:rFonts w:ascii="Cambria Math" w:hAnsi="Cambria Math"/>
                <w:i/>
                <w:sz w:val="24"/>
                <w:szCs w:val="24"/>
              </w:rPr>
            </m:ctrlPr>
          </m:sSubPr>
          <m:e>
            <m:r>
              <w:rPr>
                <w:rFonts w:ascii="Cambria Math" w:hAnsi="Cambria Math"/>
                <w:sz w:val="24"/>
                <w:szCs w:val="24"/>
              </w:rPr>
              <m:t>Xk</m:t>
            </m:r>
          </m:e>
          <m:sub>
            <m:r>
              <w:rPr>
                <w:rFonts w:ascii="Cambria Math" w:hAnsi="Cambria Math"/>
                <w:sz w:val="24"/>
                <w:szCs w:val="24"/>
              </w:rPr>
              <m:t>it</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v</m:t>
            </m:r>
          </m:e>
          <m:sub>
            <m:r>
              <w:rPr>
                <w:rFonts w:ascii="Cambria Math" w:hAnsi="Cambria Math"/>
                <w:sz w:val="24"/>
                <w:szCs w:val="24"/>
              </w:rPr>
              <m:t>it</m:t>
            </m:r>
          </m:sub>
        </m:sSub>
        <m:r>
          <w:rPr>
            <w:rFonts w:ascii="Cambria Math" w:hAnsi="Cambria Math"/>
            <w:sz w:val="24"/>
            <w:szCs w:val="24"/>
          </w:rPr>
          <m:t>+</m:t>
        </m:r>
        <m:sSub>
          <m:sSubPr>
            <m:ctrlPr>
              <w:rPr>
                <w:rFonts w:ascii="Cambria Math" w:hAnsi="Cambria Math"/>
                <w:i/>
                <w:sz w:val="24"/>
                <w:szCs w:val="24"/>
              </w:rPr>
            </m:ctrlPr>
          </m:sSubPr>
          <m:e>
            <m:r>
              <w:rPr>
                <w:rFonts w:ascii="Cambria Math" w:hAnsi="Cambria Math"/>
                <w:sz w:val="24"/>
                <w:szCs w:val="24"/>
              </w:rPr>
              <m:t>ε</m:t>
            </m:r>
          </m:e>
          <m:sub>
            <m:r>
              <w:rPr>
                <w:rFonts w:ascii="Cambria Math" w:hAnsi="Cambria Math"/>
                <w:sz w:val="24"/>
                <w:szCs w:val="24"/>
              </w:rPr>
              <m:t>it</m:t>
            </m:r>
          </m:sub>
        </m:sSub>
      </m:oMath>
      <w:r w:rsidR="00413E58" w:rsidRPr="009A7666">
        <w:rPr>
          <w:sz w:val="24"/>
          <w:szCs w:val="24"/>
        </w:rPr>
        <w:t>……………………………...………….1</w:t>
      </w:r>
    </w:p>
    <w:p w14:paraId="5D43BC4D" w14:textId="77777777" w:rsidR="00413E58" w:rsidRPr="009A7666" w:rsidRDefault="00413E58" w:rsidP="00F0006E">
      <w:r w:rsidRPr="009A7666">
        <w:t>Where:</w:t>
      </w:r>
      <m:oMath>
        <m:r>
          <w:rPr>
            <w:rFonts w:ascii="Cambria Math" w:hAnsi="Cambria Math"/>
          </w:rPr>
          <m:t>i</m:t>
        </m:r>
        <m:r>
          <m:rPr>
            <m:sty m:val="p"/>
          </m:rPr>
          <w:rPr>
            <w:rFonts w:ascii="Cambria Math" w:hAnsi="Cambria Math"/>
          </w:rPr>
          <m:t>=1, 2 ...</m:t>
        </m:r>
        <m:r>
          <w:rPr>
            <w:rFonts w:ascii="Cambria Math" w:hAnsi="Cambria Math"/>
          </w:rPr>
          <m:t>N</m:t>
        </m:r>
        <m:r>
          <m:rPr>
            <m:sty m:val="p"/>
          </m:rPr>
          <w:rPr>
            <w:rFonts w:ascii="Cambria Math" w:hAnsi="Cambria Math"/>
          </w:rPr>
          <m:t xml:space="preserve">, </m:t>
        </m:r>
        <m:r>
          <w:rPr>
            <w:rFonts w:ascii="Cambria Math" w:hAnsi="Cambria Math"/>
          </w:rPr>
          <m:t>t</m:t>
        </m:r>
        <m:r>
          <m:rPr>
            <m:sty m:val="p"/>
          </m:rPr>
          <w:rPr>
            <w:rFonts w:ascii="Cambria Math" w:hAnsi="Cambria Math"/>
          </w:rPr>
          <m:t>=1, 2, 3...</m:t>
        </m:r>
        <m:r>
          <w:rPr>
            <w:rFonts w:ascii="Cambria Math" w:hAnsi="Cambria Math"/>
          </w:rPr>
          <m:t>T</m:t>
        </m:r>
      </m:oMath>
    </w:p>
    <w:p w14:paraId="4F062D25" w14:textId="110010E9" w:rsidR="004C434F" w:rsidRPr="009A7666" w:rsidRDefault="00413E58" w:rsidP="00F0006E">
      <w:pPr>
        <w:rPr>
          <w:rFonts w:cs="Times New Roman"/>
          <w:bdr w:val="nil"/>
        </w:rPr>
      </w:pPr>
      <w:r w:rsidRPr="009A7666">
        <w:t xml:space="preserve">Here </w:t>
      </w:r>
      <m:oMath>
        <m:r>
          <w:rPr>
            <w:rFonts w:ascii="Cambria Math" w:hAnsi="Cambria Math"/>
          </w:rPr>
          <m:t>i</m:t>
        </m:r>
      </m:oMath>
      <w:r w:rsidRPr="009A7666">
        <w:t xml:space="preserve"> is the cross section and </w:t>
      </w:r>
      <m:oMath>
        <m:r>
          <w:rPr>
            <w:rFonts w:ascii="Cambria Math" w:hAnsi="Cambria Math"/>
          </w:rPr>
          <m:t>t</m:t>
        </m:r>
      </m:oMath>
      <w:r w:rsidRPr="009A7666">
        <w:t xml:space="preserve"> is the time. Since the </w:t>
      </w:r>
      <m:oMath>
        <m:r>
          <w:rPr>
            <w:rFonts w:ascii="Cambria Math" w:hAnsi="Cambria Math"/>
          </w:rPr>
          <m:t>SPV</m:t>
        </m:r>
      </m:oMath>
      <w:r w:rsidRPr="009A7666">
        <w:t xml:space="preserve"> variable has different values in each period of each unit, it is expressed with two sub-indices as i and t. </w:t>
      </w:r>
      <m:oMath>
        <m:sSub>
          <m:sSubPr>
            <m:ctrlPr>
              <w:rPr>
                <w:rFonts w:ascii="Cambria Math" w:hAnsi="Cambria Math"/>
                <w:i/>
              </w:rPr>
            </m:ctrlPr>
          </m:sSubPr>
          <m:e>
            <m:r>
              <w:rPr>
                <w:rFonts w:ascii="Cambria Math" w:hAnsi="Cambria Math"/>
              </w:rPr>
              <m:t>SPV</m:t>
            </m:r>
          </m:e>
          <m:sub>
            <m:r>
              <w:rPr>
                <w:rFonts w:ascii="Cambria Math" w:hAnsi="Cambria Math"/>
              </w:rPr>
              <m:t>it</m:t>
            </m:r>
          </m:sub>
        </m:sSub>
      </m:oMath>
      <w:r w:rsidRPr="009A7666">
        <w:t xml:space="preserve"> = dependent variable which represent changes in stock prices of company </w:t>
      </w:r>
      <m:oMath>
        <m:r>
          <w:rPr>
            <w:rFonts w:ascii="Cambria Math" w:hAnsi="Cambria Math"/>
          </w:rPr>
          <m:t>i</m:t>
        </m:r>
      </m:oMath>
      <w:r w:rsidRPr="009A7666">
        <w:t xml:space="preserve"> at time</w:t>
      </w:r>
      <m:oMath>
        <m:r>
          <w:rPr>
            <w:rFonts w:ascii="Cambria Math" w:hAnsi="Cambria Math"/>
          </w:rPr>
          <m:t xml:space="preserve"> t</m:t>
        </m:r>
      </m:oMath>
      <w:r w:rsidRPr="009A7666">
        <w:t xml:space="preserve">. </w:t>
      </w:r>
      <m:oMath>
        <m:sSub>
          <m:sSubPr>
            <m:ctrlPr>
              <w:rPr>
                <w:rFonts w:ascii="Cambria Math" w:hAnsi="Cambria Math"/>
                <w:i/>
              </w:rPr>
            </m:ctrlPr>
          </m:sSubPr>
          <m:e>
            <m:r>
              <w:rPr>
                <w:rFonts w:ascii="Cambria Math" w:hAnsi="Cambria Math"/>
              </w:rPr>
              <m:t>β</m:t>
            </m:r>
          </m:e>
          <m:sub>
            <m:r>
              <w:rPr>
                <w:rFonts w:ascii="Cambria Math" w:hAnsi="Cambria Math"/>
              </w:rPr>
              <m:t>0</m:t>
            </m:r>
          </m:sub>
        </m:sSub>
      </m:oMath>
      <w:r w:rsidRPr="009A7666">
        <w:t xml:space="preserve"> = the intercept or constant term of company i at time </w:t>
      </w:r>
      <w:r w:rsidRPr="009A7666">
        <w:rPr>
          <w:i/>
        </w:rPr>
        <w:t>t</w:t>
      </w:r>
      <w:r w:rsidRPr="009A7666">
        <w:t xml:space="preserve">, </w:t>
      </w:r>
      <m:oMath>
        <m:sSub>
          <m:sSubPr>
            <m:ctrlPr>
              <w:rPr>
                <w:rFonts w:ascii="Cambria Math" w:hAnsi="Cambria Math"/>
                <w:i/>
              </w:rPr>
            </m:ctrlPr>
          </m:sSubPr>
          <m:e>
            <m:r>
              <w:rPr>
                <w:rFonts w:ascii="Cambria Math" w:hAnsi="Cambria Math"/>
              </w:rPr>
              <m:t>β</m:t>
            </m:r>
          </m:e>
          <m:sub>
            <m:r>
              <w:rPr>
                <w:rFonts w:ascii="Cambria Math" w:hAnsi="Cambria Math"/>
              </w:rPr>
              <m:t>it</m:t>
            </m:r>
          </m:sub>
        </m:sSub>
      </m:oMath>
      <w:r w:rsidRPr="009A7666">
        <w:rPr>
          <w:i/>
        </w:rPr>
        <w:t xml:space="preserve"> </w:t>
      </w:r>
      <w:r w:rsidRPr="009A7666">
        <w:t>= the coefficient of the independent variable at time</w:t>
      </w:r>
      <w:r w:rsidRPr="009A7666">
        <w:rPr>
          <w:i/>
        </w:rPr>
        <w:t xml:space="preserve"> t </w:t>
      </w:r>
      <w:r w:rsidRPr="009A7666">
        <w:t>which represents the sensitivity of</w:t>
      </w:r>
      <w:r w:rsidRPr="009A7666">
        <w:rPr>
          <w:i/>
        </w:rPr>
        <w:t xml:space="preserve"> </w:t>
      </w:r>
      <w:r w:rsidRPr="009A7666">
        <w:t xml:space="preserve">stock price volatility of company i at time </w:t>
      </w:r>
      <w:r w:rsidRPr="009A7666">
        <w:rPr>
          <w:i/>
        </w:rPr>
        <w:t xml:space="preserve">t., </w:t>
      </w:r>
      <m:oMath>
        <m:sSub>
          <m:sSubPr>
            <m:ctrlPr>
              <w:rPr>
                <w:rFonts w:ascii="Cambria Math" w:hAnsi="Cambria Math"/>
                <w:i/>
              </w:rPr>
            </m:ctrlPr>
          </m:sSubPr>
          <m:e>
            <m:r>
              <w:rPr>
                <w:rFonts w:ascii="Cambria Math" w:hAnsi="Cambria Math"/>
              </w:rPr>
              <m:t>X</m:t>
            </m:r>
          </m:e>
          <m:sub>
            <m:r>
              <w:rPr>
                <w:rFonts w:ascii="Cambria Math" w:hAnsi="Cambria Math"/>
              </w:rPr>
              <m:t>it</m:t>
            </m:r>
          </m:sub>
        </m:sSub>
      </m:oMath>
      <w:r w:rsidRPr="009A7666">
        <w:t xml:space="preserve">= a vector of independent variables at time t, </w:t>
      </w:r>
      <m:oMath>
        <m:sSub>
          <m:sSubPr>
            <m:ctrlPr>
              <w:rPr>
                <w:rFonts w:ascii="Cambria Math" w:hAnsi="Cambria Math"/>
              </w:rPr>
            </m:ctrlPr>
          </m:sSubPr>
          <m:e>
            <m:r>
              <w:rPr>
                <w:rFonts w:ascii="Cambria Math" w:hAnsi="Cambria Math"/>
              </w:rPr>
              <m:t>v</m:t>
            </m:r>
          </m:e>
          <m:sub>
            <m:r>
              <w:rPr>
                <w:rFonts w:ascii="Cambria Math" w:hAnsi="Cambria Math"/>
              </w:rPr>
              <m:t>it</m:t>
            </m:r>
          </m:sub>
        </m:sSub>
        <m:r>
          <w:rPr>
            <w:rFonts w:ascii="Cambria Math" w:hAnsi="Cambria Math"/>
          </w:rPr>
          <m:t xml:space="preserve"> </m:t>
        </m:r>
      </m:oMath>
      <w:r w:rsidRPr="009A7666">
        <w:t xml:space="preserve">individual specific effects and </w:t>
      </w:r>
      <m:oMath>
        <m:sSub>
          <m:sSubPr>
            <m:ctrlPr>
              <w:rPr>
                <w:rFonts w:ascii="Cambria Math" w:hAnsi="Cambria Math"/>
              </w:rPr>
            </m:ctrlPr>
          </m:sSubPr>
          <m:e>
            <m:r>
              <w:rPr>
                <w:rFonts w:ascii="Cambria Math" w:hAnsi="Cambria Math"/>
              </w:rPr>
              <m:t>ε</m:t>
            </m:r>
          </m:e>
          <m:sub>
            <m:r>
              <w:rPr>
                <w:rFonts w:ascii="Cambria Math" w:hAnsi="Cambria Math"/>
              </w:rPr>
              <m:t xml:space="preserve">it </m:t>
            </m:r>
          </m:sub>
        </m:sSub>
      </m:oMath>
      <w:r w:rsidRPr="009A7666">
        <w:t xml:space="preserve">= white noise error term of company </w:t>
      </w:r>
      <m:oMath>
        <m:r>
          <w:rPr>
            <w:rFonts w:ascii="Cambria Math" w:hAnsi="Cambria Math"/>
          </w:rPr>
          <m:t>i</m:t>
        </m:r>
      </m:oMath>
      <w:r w:rsidRPr="009A7666">
        <w:t xml:space="preserve"> at time t. Fixed effects</w:t>
      </w:r>
      <w:r w:rsidR="004C434F" w:rsidRPr="009A7666">
        <w:t xml:space="preserve"> assumes that the time-varying explanatory variables are not perfectly collinear, that they have non-zero within–variance (i.e. variation over time for a given individual) and not too many extreme values. Hence,  </w:t>
      </w:r>
      <m:oMath>
        <m:sSub>
          <m:sSubPr>
            <m:ctrlPr>
              <w:rPr>
                <w:rFonts w:ascii="Cambria Math" w:hAnsi="Cambria Math"/>
                <w:i/>
                <w:szCs w:val="24"/>
              </w:rPr>
            </m:ctrlPr>
          </m:sSubPr>
          <m:e>
            <m:r>
              <w:rPr>
                <w:rFonts w:ascii="Cambria Math" w:hAnsi="Cambria Math"/>
                <w:szCs w:val="24"/>
              </w:rPr>
              <m:t>X</m:t>
            </m:r>
          </m:e>
          <m:sub>
            <m:r>
              <w:rPr>
                <w:rFonts w:ascii="Cambria Math" w:hAnsi="Cambria Math"/>
                <w:szCs w:val="24"/>
              </w:rPr>
              <m:t>it</m:t>
            </m:r>
          </m:sub>
        </m:sSub>
        <m:r>
          <w:rPr>
            <w:rFonts w:ascii="Cambria Math" w:hAnsi="Cambria Math"/>
            <w:szCs w:val="24"/>
          </w:rPr>
          <m:t xml:space="preserve"> </m:t>
        </m:r>
      </m:oMath>
      <w:r w:rsidR="004C434F" w:rsidRPr="009A7666">
        <w:t>cannot include a constant or any time-invariant variables.</w:t>
      </w:r>
      <w:r w:rsidR="004C434F" w:rsidRPr="009A7666">
        <w:rPr>
          <w:rFonts w:cs="Times New Roman"/>
          <w:bdr w:val="nil"/>
        </w:rPr>
        <w:t xml:space="preserve"> </w:t>
      </w:r>
    </w:p>
    <w:p w14:paraId="3C83D3FC" w14:textId="3037CF9C" w:rsidR="00576F5A" w:rsidRPr="009A7666" w:rsidRDefault="00576F5A" w:rsidP="00576F5A">
      <w:pPr>
        <w:pStyle w:val="ListParagraph"/>
        <w:numPr>
          <w:ilvl w:val="0"/>
          <w:numId w:val="1"/>
        </w:numPr>
        <w:rPr>
          <w:rFonts w:cs="Times New Roman"/>
          <w:b/>
          <w:bCs/>
          <w:bdr w:val="nil"/>
        </w:rPr>
      </w:pPr>
      <w:r w:rsidRPr="009A7666">
        <w:rPr>
          <w:rFonts w:cs="Times New Roman"/>
          <w:b/>
          <w:bCs/>
          <w:bdr w:val="nil"/>
        </w:rPr>
        <w:t>Results and Interpretation</w:t>
      </w:r>
    </w:p>
    <w:p w14:paraId="7CABEBA2" w14:textId="0F52B66B" w:rsidR="00576F5A" w:rsidRPr="009A7666" w:rsidRDefault="00576F5A" w:rsidP="00576F5A">
      <w:r w:rsidRPr="009A7666">
        <w:rPr>
          <w:rFonts w:eastAsia="Calibri"/>
        </w:rPr>
        <w:t>Table 1 gives results for fixed effects model.</w:t>
      </w:r>
      <w:r w:rsidRPr="009A7666">
        <w:t xml:space="preserve"> The individual specific effect is correlated with the independent variables (</w:t>
      </w:r>
      <w:proofErr w:type="spellStart"/>
      <w:r w:rsidRPr="009A7666">
        <w:rPr>
          <w:rFonts w:cs="Times New Roman"/>
          <w:szCs w:val="24"/>
        </w:rPr>
        <w:t>Corr</w:t>
      </w:r>
      <w:proofErr w:type="spellEnd"/>
      <w:r w:rsidRPr="009A7666">
        <w:rPr>
          <w:rFonts w:cs="Times New Roman"/>
          <w:szCs w:val="24"/>
        </w:rPr>
        <w:t xml:space="preserve"> (</w:t>
      </w:r>
      <m:oMath>
        <m:sSub>
          <m:sSubPr>
            <m:ctrlPr>
              <w:rPr>
                <w:rFonts w:ascii="Cambria Math" w:hAnsi="Cambria Math" w:cs="Times New Roman"/>
                <w:i/>
                <w:szCs w:val="24"/>
              </w:rPr>
            </m:ctrlPr>
          </m:sSubPr>
          <m:e>
            <m:r>
              <w:rPr>
                <w:rFonts w:ascii="Cambria Math" w:hAnsi="Cambria Math" w:cs="Times New Roman"/>
                <w:szCs w:val="24"/>
              </w:rPr>
              <m:t>μ</m:t>
            </m:r>
          </m:e>
          <m:sub>
            <m:r>
              <w:rPr>
                <w:rFonts w:ascii="Cambria Math" w:hAnsi="Cambria Math" w:cs="Times New Roman"/>
                <w:szCs w:val="24"/>
              </w:rPr>
              <m:t>i</m:t>
            </m:r>
          </m:sub>
        </m:sSub>
        <m:r>
          <w:rPr>
            <w:rFonts w:ascii="Cambria Math" w:hAnsi="Cambria Math" w:cs="Times New Roman"/>
            <w:szCs w:val="24"/>
          </w:rPr>
          <m:t>,x</m:t>
        </m:r>
      </m:oMath>
      <w:r w:rsidRPr="009A7666">
        <w:rPr>
          <w:rFonts w:cs="Times New Roman"/>
          <w:szCs w:val="24"/>
        </w:rPr>
        <w:t>) = .0133)</w:t>
      </w:r>
      <w:r w:rsidRPr="009A7666">
        <w:t xml:space="preserve">. F- test statistic </w:t>
      </w:r>
      <w:r w:rsidRPr="009A7666">
        <w:rPr>
          <w:rFonts w:cs="Times New Roman"/>
          <w:szCs w:val="24"/>
        </w:rPr>
        <w:t>(20.55</w:t>
      </w:r>
      <w:r w:rsidRPr="009A7666">
        <w:t>) in fixed effects model also showed a significant model fitness (prob&gt;F=.000 &lt; 0.05). This is also a good sign of a strong correlation which indicates that the explanatory variables jointly have a significant impact on the stock price volatility among listed firms in NSE Kenya. Further, the value for overall R square of .6659 shows the independent variables explained at least 66.59% of the variation of the dependent variable. This implies that market price book value, earnings per share, price earnings, book value per share, dividend yield ratio, institutional ownership, and the control variables such as firm size and growth explained 66.59 percent of total variation of stock price volatility of firms listed in NSE with respect to the two models.</w:t>
      </w:r>
      <w:r w:rsidR="00F3252A" w:rsidRPr="009A7666">
        <w:t xml:space="preserve"> A</w:t>
      </w:r>
      <w:r w:rsidRPr="009A7666">
        <w:t xml:space="preserve">ll the variables </w:t>
      </w:r>
      <w:r w:rsidRPr="009A7666">
        <w:lastRenderedPageBreak/>
        <w:t xml:space="preserve">have a negative and significant effect on stock price volatility. Only price earning </w:t>
      </w:r>
      <w:r w:rsidR="00F3252A" w:rsidRPr="009A7666">
        <w:t>was an insignificant factor</w:t>
      </w:r>
      <w:r w:rsidRPr="009A7666">
        <w:t xml:space="preserve">. </w:t>
      </w:r>
    </w:p>
    <w:p w14:paraId="732CE01D" w14:textId="1B9EB00C" w:rsidR="00580687" w:rsidRPr="009A7666" w:rsidRDefault="00580687" w:rsidP="00576F5A"/>
    <w:p w14:paraId="31D48B69" w14:textId="77777777" w:rsidR="00580687" w:rsidRPr="009A7666" w:rsidRDefault="00580687" w:rsidP="00576F5A"/>
    <w:p w14:paraId="177821B4" w14:textId="2E200DC5" w:rsidR="0078357A" w:rsidRPr="009A7666" w:rsidRDefault="0078357A" w:rsidP="004C434F">
      <w:pPr>
        <w:pStyle w:val="Caption"/>
        <w:spacing w:line="360" w:lineRule="auto"/>
        <w:rPr>
          <w:b/>
          <w:bCs/>
          <w:i w:val="0"/>
          <w:iCs w:val="0"/>
          <w:color w:val="auto"/>
          <w:sz w:val="24"/>
          <w:szCs w:val="24"/>
        </w:rPr>
      </w:pPr>
      <w:r w:rsidRPr="009A7666">
        <w:rPr>
          <w:b/>
          <w:bCs/>
          <w:i w:val="0"/>
          <w:iCs w:val="0"/>
          <w:color w:val="auto"/>
          <w:sz w:val="24"/>
          <w:szCs w:val="24"/>
        </w:rPr>
        <w:t>Table</w:t>
      </w:r>
      <w:r w:rsidR="00F3252A" w:rsidRPr="009A7666">
        <w:rPr>
          <w:b/>
          <w:bCs/>
          <w:i w:val="0"/>
          <w:iCs w:val="0"/>
          <w:color w:val="auto"/>
          <w:sz w:val="24"/>
          <w:szCs w:val="24"/>
        </w:rPr>
        <w:t xml:space="preserve"> 1</w:t>
      </w:r>
      <w:r w:rsidRPr="009A7666">
        <w:rPr>
          <w:b/>
          <w:bCs/>
          <w:i w:val="0"/>
          <w:iCs w:val="0"/>
          <w:color w:val="auto"/>
          <w:sz w:val="24"/>
          <w:szCs w:val="24"/>
        </w:rPr>
        <w:t>: Fixed Effects</w:t>
      </w:r>
      <w:r w:rsidR="00933941" w:rsidRPr="009A7666">
        <w:rPr>
          <w:b/>
          <w:bCs/>
          <w:i w:val="0"/>
          <w:iCs w:val="0"/>
          <w:color w:val="auto"/>
          <w:sz w:val="24"/>
          <w:szCs w:val="24"/>
        </w:rPr>
        <w:t xml:space="preserve"> </w:t>
      </w:r>
      <w:r w:rsidRPr="009A7666">
        <w:rPr>
          <w:b/>
          <w:bCs/>
          <w:i w:val="0"/>
          <w:iCs w:val="0"/>
          <w:color w:val="auto"/>
          <w:sz w:val="24"/>
          <w:szCs w:val="24"/>
        </w:rPr>
        <w:t>Regression</w:t>
      </w:r>
      <w:bookmarkEnd w:id="0"/>
    </w:p>
    <w:tbl>
      <w:tblPr>
        <w:tblStyle w:val="TableGrid"/>
        <w:tblW w:w="0" w:type="auto"/>
        <w:jc w:val="center"/>
        <w:tblBorders>
          <w:left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88"/>
        <w:gridCol w:w="1120"/>
        <w:gridCol w:w="1232"/>
        <w:gridCol w:w="1190"/>
        <w:gridCol w:w="1154"/>
        <w:gridCol w:w="1264"/>
        <w:gridCol w:w="1266"/>
      </w:tblGrid>
      <w:tr w:rsidR="009A7666" w:rsidRPr="009A7666" w14:paraId="6F573B17" w14:textId="77777777" w:rsidTr="00557DC6">
        <w:trPr>
          <w:trHeight w:val="280"/>
          <w:jc w:val="center"/>
        </w:trPr>
        <w:tc>
          <w:tcPr>
            <w:tcW w:w="9014" w:type="dxa"/>
            <w:gridSpan w:val="7"/>
            <w:tcBorders>
              <w:top w:val="single" w:sz="4" w:space="0" w:color="auto"/>
              <w:bottom w:val="single" w:sz="4" w:space="0" w:color="auto"/>
            </w:tcBorders>
          </w:tcPr>
          <w:p w14:paraId="57DA5E0F" w14:textId="7B65BD18" w:rsidR="00576F5A" w:rsidRPr="009A7666" w:rsidRDefault="00576F5A" w:rsidP="00576F5A">
            <w:pPr>
              <w:spacing w:line="240" w:lineRule="auto"/>
              <w:jc w:val="center"/>
              <w:rPr>
                <w:rFonts w:cs="Times New Roman"/>
                <w:b/>
                <w:bCs/>
                <w:szCs w:val="24"/>
              </w:rPr>
            </w:pPr>
            <w:bookmarkStart w:id="5" w:name="_Hlk89348813"/>
            <w:r w:rsidRPr="009A7666">
              <w:rPr>
                <w:rFonts w:cs="Times New Roman"/>
                <w:b/>
                <w:bCs/>
                <w:szCs w:val="24"/>
              </w:rPr>
              <w:t>Fixed Effects Regression</w:t>
            </w:r>
          </w:p>
        </w:tc>
      </w:tr>
      <w:tr w:rsidR="009A7666" w:rsidRPr="009A7666" w14:paraId="1874526D" w14:textId="77777777" w:rsidTr="00076C9B">
        <w:trPr>
          <w:trHeight w:val="280"/>
          <w:jc w:val="center"/>
        </w:trPr>
        <w:tc>
          <w:tcPr>
            <w:tcW w:w="2908" w:type="dxa"/>
            <w:gridSpan w:val="2"/>
          </w:tcPr>
          <w:p w14:paraId="2001F50D" w14:textId="7157A528" w:rsidR="00576F5A" w:rsidRPr="009A7666" w:rsidRDefault="00576F5A" w:rsidP="00576F5A">
            <w:pPr>
              <w:spacing w:line="240" w:lineRule="auto"/>
              <w:rPr>
                <w:rFonts w:cs="Times New Roman"/>
                <w:szCs w:val="24"/>
              </w:rPr>
            </w:pPr>
            <w:r w:rsidRPr="009A7666">
              <w:rPr>
                <w:rFonts w:cs="Times New Roman"/>
                <w:szCs w:val="24"/>
              </w:rPr>
              <w:t xml:space="preserve">R- square: </w:t>
            </w:r>
            <w:r w:rsidR="00F3252A" w:rsidRPr="009A7666">
              <w:rPr>
                <w:rFonts w:cs="Times New Roman"/>
                <w:szCs w:val="24"/>
              </w:rPr>
              <w:t>Overall</w:t>
            </w:r>
          </w:p>
        </w:tc>
        <w:tc>
          <w:tcPr>
            <w:tcW w:w="1232" w:type="dxa"/>
          </w:tcPr>
          <w:p w14:paraId="0622C7B9" w14:textId="0BD70E1A" w:rsidR="00576F5A" w:rsidRPr="009A7666" w:rsidRDefault="00F3252A" w:rsidP="00576F5A">
            <w:pPr>
              <w:spacing w:line="240" w:lineRule="auto"/>
              <w:rPr>
                <w:rFonts w:cs="Times New Roman"/>
                <w:szCs w:val="24"/>
              </w:rPr>
            </w:pPr>
            <w:r w:rsidRPr="009A7666">
              <w:rPr>
                <w:rFonts w:cs="Times New Roman"/>
                <w:szCs w:val="24"/>
              </w:rPr>
              <w:t>=.6659</w:t>
            </w:r>
          </w:p>
        </w:tc>
        <w:tc>
          <w:tcPr>
            <w:tcW w:w="1190" w:type="dxa"/>
          </w:tcPr>
          <w:p w14:paraId="7F54A911" w14:textId="77777777" w:rsidR="00576F5A" w:rsidRPr="009A7666" w:rsidRDefault="00576F5A" w:rsidP="00576F5A">
            <w:pPr>
              <w:spacing w:line="240" w:lineRule="auto"/>
              <w:rPr>
                <w:rFonts w:cs="Times New Roman"/>
                <w:szCs w:val="24"/>
              </w:rPr>
            </w:pPr>
          </w:p>
        </w:tc>
        <w:tc>
          <w:tcPr>
            <w:tcW w:w="2418" w:type="dxa"/>
            <w:gridSpan w:val="2"/>
          </w:tcPr>
          <w:p w14:paraId="6DE6FF76" w14:textId="77777777" w:rsidR="00576F5A" w:rsidRPr="009A7666" w:rsidRDefault="00576F5A" w:rsidP="00576F5A">
            <w:pPr>
              <w:spacing w:line="240" w:lineRule="auto"/>
              <w:rPr>
                <w:rFonts w:cs="Times New Roman"/>
                <w:szCs w:val="24"/>
              </w:rPr>
            </w:pPr>
            <w:r w:rsidRPr="009A7666">
              <w:rPr>
                <w:rFonts w:cs="Times New Roman"/>
                <w:szCs w:val="24"/>
              </w:rPr>
              <w:t>No. of Obs</w:t>
            </w:r>
          </w:p>
        </w:tc>
        <w:tc>
          <w:tcPr>
            <w:tcW w:w="1266" w:type="dxa"/>
          </w:tcPr>
          <w:p w14:paraId="51E34FAC" w14:textId="77777777" w:rsidR="00576F5A" w:rsidRPr="009A7666" w:rsidRDefault="00576F5A" w:rsidP="00576F5A">
            <w:pPr>
              <w:spacing w:line="240" w:lineRule="auto"/>
              <w:rPr>
                <w:rFonts w:cs="Times New Roman"/>
                <w:szCs w:val="24"/>
              </w:rPr>
            </w:pPr>
            <w:r w:rsidRPr="009A7666">
              <w:rPr>
                <w:rFonts w:cs="Times New Roman"/>
                <w:szCs w:val="24"/>
              </w:rPr>
              <w:t>= 468</w:t>
            </w:r>
          </w:p>
        </w:tc>
      </w:tr>
      <w:tr w:rsidR="009A7666" w:rsidRPr="009A7666" w14:paraId="76543E2B" w14:textId="77777777" w:rsidTr="00076C9B">
        <w:trPr>
          <w:trHeight w:val="280"/>
          <w:jc w:val="center"/>
        </w:trPr>
        <w:tc>
          <w:tcPr>
            <w:tcW w:w="4140" w:type="dxa"/>
            <w:gridSpan w:val="3"/>
            <w:tcBorders>
              <w:bottom w:val="nil"/>
            </w:tcBorders>
          </w:tcPr>
          <w:p w14:paraId="60C9FDB2" w14:textId="77777777" w:rsidR="00576F5A" w:rsidRPr="009A7666" w:rsidRDefault="00576F5A" w:rsidP="00576F5A">
            <w:pPr>
              <w:spacing w:line="240" w:lineRule="auto"/>
              <w:rPr>
                <w:rFonts w:cs="Times New Roman"/>
                <w:szCs w:val="24"/>
              </w:rPr>
            </w:pPr>
            <w:proofErr w:type="spellStart"/>
            <w:r w:rsidRPr="009A7666">
              <w:rPr>
                <w:rFonts w:cs="Times New Roman"/>
                <w:szCs w:val="24"/>
              </w:rPr>
              <w:t>Corr</w:t>
            </w:r>
            <w:proofErr w:type="spellEnd"/>
            <w:r w:rsidRPr="009A7666">
              <w:rPr>
                <w:rFonts w:cs="Times New Roman"/>
                <w:szCs w:val="24"/>
              </w:rPr>
              <w:t xml:space="preserve"> (</w:t>
            </w:r>
            <m:oMath>
              <m:sSub>
                <m:sSubPr>
                  <m:ctrlPr>
                    <w:rPr>
                      <w:rFonts w:ascii="Cambria Math" w:hAnsi="Cambria Math" w:cs="Times New Roman"/>
                      <w:i/>
                      <w:szCs w:val="24"/>
                    </w:rPr>
                  </m:ctrlPr>
                </m:sSubPr>
                <m:e>
                  <m:r>
                    <w:rPr>
                      <w:rFonts w:ascii="Cambria Math" w:hAnsi="Cambria Math" w:cs="Times New Roman"/>
                      <w:szCs w:val="24"/>
                    </w:rPr>
                    <m:t>μ</m:t>
                  </m:r>
                </m:e>
                <m:sub>
                  <m:r>
                    <w:rPr>
                      <w:rFonts w:ascii="Cambria Math" w:hAnsi="Cambria Math" w:cs="Times New Roman"/>
                      <w:szCs w:val="24"/>
                    </w:rPr>
                    <m:t>i</m:t>
                  </m:r>
                </m:sub>
              </m:sSub>
              <m:r>
                <w:rPr>
                  <w:rFonts w:ascii="Cambria Math" w:hAnsi="Cambria Math" w:cs="Times New Roman"/>
                  <w:szCs w:val="24"/>
                </w:rPr>
                <m:t>,x</m:t>
              </m:r>
            </m:oMath>
            <w:r w:rsidRPr="009A7666">
              <w:rPr>
                <w:rFonts w:cs="Times New Roman"/>
                <w:szCs w:val="24"/>
              </w:rPr>
              <w:t>) = .0133</w:t>
            </w:r>
          </w:p>
        </w:tc>
        <w:tc>
          <w:tcPr>
            <w:tcW w:w="1190" w:type="dxa"/>
            <w:tcBorders>
              <w:bottom w:val="nil"/>
            </w:tcBorders>
          </w:tcPr>
          <w:p w14:paraId="40168BFA" w14:textId="77777777" w:rsidR="00576F5A" w:rsidRPr="009A7666" w:rsidRDefault="00576F5A" w:rsidP="00576F5A">
            <w:pPr>
              <w:spacing w:line="240" w:lineRule="auto"/>
              <w:rPr>
                <w:rFonts w:cs="Times New Roman"/>
                <w:szCs w:val="24"/>
              </w:rPr>
            </w:pPr>
          </w:p>
        </w:tc>
        <w:tc>
          <w:tcPr>
            <w:tcW w:w="2418" w:type="dxa"/>
            <w:gridSpan w:val="2"/>
            <w:tcBorders>
              <w:bottom w:val="nil"/>
            </w:tcBorders>
          </w:tcPr>
          <w:p w14:paraId="3C04C864" w14:textId="77777777" w:rsidR="00576F5A" w:rsidRPr="009A7666" w:rsidRDefault="00576F5A" w:rsidP="00576F5A">
            <w:pPr>
              <w:spacing w:line="240" w:lineRule="auto"/>
              <w:rPr>
                <w:rFonts w:cs="Times New Roman"/>
                <w:szCs w:val="24"/>
              </w:rPr>
            </w:pPr>
            <w:r w:rsidRPr="009A7666">
              <w:rPr>
                <w:rFonts w:cs="Times New Roman"/>
                <w:szCs w:val="24"/>
              </w:rPr>
              <w:t>F (8, 448)</w:t>
            </w:r>
          </w:p>
        </w:tc>
        <w:tc>
          <w:tcPr>
            <w:tcW w:w="1266" w:type="dxa"/>
            <w:tcBorders>
              <w:bottom w:val="nil"/>
            </w:tcBorders>
          </w:tcPr>
          <w:p w14:paraId="1E88849D" w14:textId="77777777" w:rsidR="00576F5A" w:rsidRPr="009A7666" w:rsidRDefault="00576F5A" w:rsidP="00576F5A">
            <w:pPr>
              <w:spacing w:line="240" w:lineRule="auto"/>
              <w:rPr>
                <w:rFonts w:cs="Times New Roman"/>
                <w:szCs w:val="24"/>
              </w:rPr>
            </w:pPr>
            <w:r w:rsidRPr="009A7666">
              <w:rPr>
                <w:rFonts w:cs="Times New Roman"/>
                <w:szCs w:val="24"/>
              </w:rPr>
              <w:t>=20.55</w:t>
            </w:r>
          </w:p>
        </w:tc>
      </w:tr>
      <w:tr w:rsidR="009A7666" w:rsidRPr="009A7666" w14:paraId="55E4DAFC" w14:textId="77777777" w:rsidTr="00076C9B">
        <w:trPr>
          <w:trHeight w:val="280"/>
          <w:jc w:val="center"/>
        </w:trPr>
        <w:tc>
          <w:tcPr>
            <w:tcW w:w="1788" w:type="dxa"/>
            <w:tcBorders>
              <w:top w:val="nil"/>
              <w:bottom w:val="single" w:sz="4" w:space="0" w:color="auto"/>
            </w:tcBorders>
          </w:tcPr>
          <w:p w14:paraId="18E1EE3C" w14:textId="77777777" w:rsidR="00576F5A" w:rsidRPr="009A7666" w:rsidRDefault="00576F5A" w:rsidP="00576F5A">
            <w:pPr>
              <w:spacing w:line="240" w:lineRule="auto"/>
              <w:rPr>
                <w:rFonts w:cs="Times New Roman"/>
                <w:szCs w:val="24"/>
              </w:rPr>
            </w:pPr>
          </w:p>
        </w:tc>
        <w:tc>
          <w:tcPr>
            <w:tcW w:w="1120" w:type="dxa"/>
            <w:tcBorders>
              <w:top w:val="nil"/>
              <w:bottom w:val="single" w:sz="4" w:space="0" w:color="auto"/>
            </w:tcBorders>
          </w:tcPr>
          <w:p w14:paraId="2E7D3BF4" w14:textId="77777777" w:rsidR="00576F5A" w:rsidRPr="009A7666" w:rsidRDefault="00576F5A" w:rsidP="00576F5A">
            <w:pPr>
              <w:spacing w:line="240" w:lineRule="auto"/>
              <w:rPr>
                <w:rFonts w:cs="Times New Roman"/>
                <w:szCs w:val="24"/>
              </w:rPr>
            </w:pPr>
          </w:p>
        </w:tc>
        <w:tc>
          <w:tcPr>
            <w:tcW w:w="1232" w:type="dxa"/>
            <w:tcBorders>
              <w:top w:val="nil"/>
              <w:bottom w:val="single" w:sz="4" w:space="0" w:color="auto"/>
            </w:tcBorders>
          </w:tcPr>
          <w:p w14:paraId="1571D669" w14:textId="77777777" w:rsidR="00576F5A" w:rsidRPr="009A7666" w:rsidRDefault="00576F5A" w:rsidP="00576F5A">
            <w:pPr>
              <w:spacing w:line="240" w:lineRule="auto"/>
              <w:rPr>
                <w:rFonts w:cs="Times New Roman"/>
                <w:szCs w:val="24"/>
              </w:rPr>
            </w:pPr>
          </w:p>
        </w:tc>
        <w:tc>
          <w:tcPr>
            <w:tcW w:w="1190" w:type="dxa"/>
            <w:tcBorders>
              <w:top w:val="nil"/>
              <w:bottom w:val="single" w:sz="4" w:space="0" w:color="auto"/>
            </w:tcBorders>
          </w:tcPr>
          <w:p w14:paraId="4B3B3AA8" w14:textId="77777777" w:rsidR="00576F5A" w:rsidRPr="009A7666" w:rsidRDefault="00576F5A" w:rsidP="00576F5A">
            <w:pPr>
              <w:spacing w:line="240" w:lineRule="auto"/>
              <w:rPr>
                <w:rFonts w:cs="Times New Roman"/>
                <w:szCs w:val="24"/>
              </w:rPr>
            </w:pPr>
          </w:p>
        </w:tc>
        <w:tc>
          <w:tcPr>
            <w:tcW w:w="2418" w:type="dxa"/>
            <w:gridSpan w:val="2"/>
            <w:tcBorders>
              <w:top w:val="nil"/>
              <w:bottom w:val="single" w:sz="4" w:space="0" w:color="auto"/>
            </w:tcBorders>
          </w:tcPr>
          <w:p w14:paraId="3A4627EE" w14:textId="77777777" w:rsidR="00576F5A" w:rsidRPr="009A7666" w:rsidRDefault="00576F5A" w:rsidP="00576F5A">
            <w:pPr>
              <w:spacing w:line="240" w:lineRule="auto"/>
              <w:rPr>
                <w:rFonts w:cs="Times New Roman"/>
                <w:szCs w:val="24"/>
              </w:rPr>
            </w:pPr>
            <w:r w:rsidRPr="009A7666">
              <w:rPr>
                <w:rFonts w:cs="Times New Roman"/>
                <w:szCs w:val="24"/>
              </w:rPr>
              <w:t>Prob&gt;F</w:t>
            </w:r>
          </w:p>
        </w:tc>
        <w:tc>
          <w:tcPr>
            <w:tcW w:w="1266" w:type="dxa"/>
            <w:tcBorders>
              <w:top w:val="nil"/>
              <w:bottom w:val="single" w:sz="4" w:space="0" w:color="auto"/>
            </w:tcBorders>
          </w:tcPr>
          <w:p w14:paraId="3076BAB1" w14:textId="77777777" w:rsidR="00576F5A" w:rsidRPr="009A7666" w:rsidRDefault="00576F5A" w:rsidP="00576F5A">
            <w:pPr>
              <w:spacing w:line="240" w:lineRule="auto"/>
              <w:rPr>
                <w:rFonts w:cs="Times New Roman"/>
                <w:szCs w:val="24"/>
              </w:rPr>
            </w:pPr>
            <w:r w:rsidRPr="009A7666">
              <w:rPr>
                <w:rFonts w:cs="Times New Roman"/>
                <w:szCs w:val="24"/>
              </w:rPr>
              <w:t>=.000</w:t>
            </w:r>
          </w:p>
        </w:tc>
      </w:tr>
      <w:tr w:rsidR="009A7666" w:rsidRPr="009A7666" w14:paraId="48856D1F" w14:textId="77777777" w:rsidTr="00076C9B">
        <w:trPr>
          <w:trHeight w:val="280"/>
          <w:jc w:val="center"/>
        </w:trPr>
        <w:tc>
          <w:tcPr>
            <w:tcW w:w="1788" w:type="dxa"/>
            <w:tcBorders>
              <w:top w:val="single" w:sz="4" w:space="0" w:color="auto"/>
              <w:bottom w:val="single" w:sz="4" w:space="0" w:color="auto"/>
            </w:tcBorders>
          </w:tcPr>
          <w:p w14:paraId="47B1E8B6" w14:textId="77777777" w:rsidR="00576F5A" w:rsidRPr="009A7666" w:rsidRDefault="00576F5A" w:rsidP="00576F5A">
            <w:pPr>
              <w:spacing w:line="240" w:lineRule="auto"/>
              <w:rPr>
                <w:rFonts w:cs="Times New Roman"/>
                <w:b/>
                <w:bCs/>
                <w:szCs w:val="24"/>
              </w:rPr>
            </w:pPr>
            <w:r w:rsidRPr="009A7666">
              <w:rPr>
                <w:rFonts w:cs="Times New Roman"/>
                <w:b/>
                <w:bCs/>
                <w:szCs w:val="24"/>
              </w:rPr>
              <w:t>SPV</w:t>
            </w:r>
          </w:p>
        </w:tc>
        <w:tc>
          <w:tcPr>
            <w:tcW w:w="1120" w:type="dxa"/>
            <w:tcBorders>
              <w:top w:val="single" w:sz="4" w:space="0" w:color="auto"/>
              <w:bottom w:val="single" w:sz="4" w:space="0" w:color="auto"/>
            </w:tcBorders>
          </w:tcPr>
          <w:p w14:paraId="0F396EEE" w14:textId="77777777" w:rsidR="00576F5A" w:rsidRPr="009A7666" w:rsidRDefault="00576F5A" w:rsidP="00576F5A">
            <w:pPr>
              <w:spacing w:line="240" w:lineRule="auto"/>
              <w:jc w:val="center"/>
              <w:rPr>
                <w:rFonts w:cs="Times New Roman"/>
                <w:b/>
                <w:bCs/>
                <w:szCs w:val="24"/>
              </w:rPr>
            </w:pPr>
            <w:r w:rsidRPr="009A7666">
              <w:rPr>
                <w:rFonts w:cs="Times New Roman"/>
                <w:b/>
                <w:bCs/>
                <w:szCs w:val="24"/>
              </w:rPr>
              <w:t>Coef.</w:t>
            </w:r>
          </w:p>
        </w:tc>
        <w:tc>
          <w:tcPr>
            <w:tcW w:w="1232" w:type="dxa"/>
            <w:tcBorders>
              <w:top w:val="single" w:sz="4" w:space="0" w:color="auto"/>
              <w:bottom w:val="single" w:sz="4" w:space="0" w:color="auto"/>
            </w:tcBorders>
          </w:tcPr>
          <w:p w14:paraId="296147A6" w14:textId="77777777" w:rsidR="00576F5A" w:rsidRPr="009A7666" w:rsidRDefault="00576F5A" w:rsidP="00576F5A">
            <w:pPr>
              <w:spacing w:line="240" w:lineRule="auto"/>
              <w:jc w:val="center"/>
              <w:rPr>
                <w:rFonts w:cs="Times New Roman"/>
                <w:b/>
                <w:bCs/>
                <w:szCs w:val="24"/>
              </w:rPr>
            </w:pPr>
            <w:r w:rsidRPr="009A7666">
              <w:rPr>
                <w:rFonts w:cs="Times New Roman"/>
                <w:b/>
                <w:bCs/>
                <w:szCs w:val="24"/>
              </w:rPr>
              <w:t>Std. Err</w:t>
            </w:r>
          </w:p>
        </w:tc>
        <w:tc>
          <w:tcPr>
            <w:tcW w:w="1190" w:type="dxa"/>
            <w:tcBorders>
              <w:top w:val="single" w:sz="4" w:space="0" w:color="auto"/>
              <w:bottom w:val="single" w:sz="4" w:space="0" w:color="auto"/>
            </w:tcBorders>
          </w:tcPr>
          <w:p w14:paraId="14068512" w14:textId="77777777" w:rsidR="00576F5A" w:rsidRPr="009A7666" w:rsidRDefault="00576F5A" w:rsidP="00576F5A">
            <w:pPr>
              <w:spacing w:line="240" w:lineRule="auto"/>
              <w:jc w:val="center"/>
              <w:rPr>
                <w:rFonts w:cs="Times New Roman"/>
                <w:b/>
                <w:bCs/>
                <w:szCs w:val="24"/>
              </w:rPr>
            </w:pPr>
            <w:r w:rsidRPr="009A7666">
              <w:rPr>
                <w:rFonts w:cs="Times New Roman"/>
                <w:b/>
                <w:bCs/>
                <w:szCs w:val="24"/>
              </w:rPr>
              <w:t>z</w:t>
            </w:r>
          </w:p>
        </w:tc>
        <w:tc>
          <w:tcPr>
            <w:tcW w:w="1154" w:type="dxa"/>
            <w:tcBorders>
              <w:top w:val="single" w:sz="4" w:space="0" w:color="auto"/>
              <w:bottom w:val="single" w:sz="4" w:space="0" w:color="auto"/>
            </w:tcBorders>
          </w:tcPr>
          <w:p w14:paraId="592BCE3E" w14:textId="77777777" w:rsidR="00576F5A" w:rsidRPr="009A7666" w:rsidRDefault="00576F5A" w:rsidP="00576F5A">
            <w:pPr>
              <w:spacing w:line="240" w:lineRule="auto"/>
              <w:jc w:val="center"/>
              <w:rPr>
                <w:rFonts w:cs="Times New Roman"/>
                <w:b/>
                <w:bCs/>
                <w:szCs w:val="24"/>
              </w:rPr>
            </w:pPr>
            <w:r w:rsidRPr="009A7666">
              <w:rPr>
                <w:rFonts w:cs="Times New Roman"/>
                <w:b/>
                <w:bCs/>
                <w:szCs w:val="24"/>
              </w:rPr>
              <w:t>P &gt; |z|</w:t>
            </w:r>
          </w:p>
        </w:tc>
        <w:tc>
          <w:tcPr>
            <w:tcW w:w="2530" w:type="dxa"/>
            <w:gridSpan w:val="2"/>
            <w:tcBorders>
              <w:top w:val="single" w:sz="4" w:space="0" w:color="auto"/>
              <w:bottom w:val="single" w:sz="4" w:space="0" w:color="auto"/>
            </w:tcBorders>
          </w:tcPr>
          <w:p w14:paraId="0093FE0A" w14:textId="77777777" w:rsidR="00576F5A" w:rsidRPr="009A7666" w:rsidRDefault="00576F5A" w:rsidP="00576F5A">
            <w:pPr>
              <w:spacing w:line="240" w:lineRule="auto"/>
              <w:jc w:val="center"/>
              <w:rPr>
                <w:rFonts w:cs="Times New Roman"/>
                <w:b/>
                <w:bCs/>
                <w:szCs w:val="24"/>
              </w:rPr>
            </w:pPr>
            <w:r w:rsidRPr="009A7666">
              <w:rPr>
                <w:rFonts w:cs="Times New Roman"/>
                <w:b/>
                <w:bCs/>
                <w:szCs w:val="24"/>
              </w:rPr>
              <w:t>[95% Conf. Interval]</w:t>
            </w:r>
          </w:p>
        </w:tc>
      </w:tr>
      <w:tr w:rsidR="009A7666" w:rsidRPr="009A7666" w14:paraId="7C3EC716" w14:textId="77777777" w:rsidTr="00076C9B">
        <w:trPr>
          <w:trHeight w:val="280"/>
          <w:jc w:val="center"/>
        </w:trPr>
        <w:tc>
          <w:tcPr>
            <w:tcW w:w="1788" w:type="dxa"/>
            <w:tcBorders>
              <w:top w:val="single" w:sz="4" w:space="0" w:color="auto"/>
            </w:tcBorders>
          </w:tcPr>
          <w:p w14:paraId="41B80D8A" w14:textId="77777777" w:rsidR="00576F5A" w:rsidRPr="009A7666" w:rsidRDefault="00576F5A" w:rsidP="00576F5A">
            <w:pPr>
              <w:spacing w:line="240" w:lineRule="auto"/>
              <w:rPr>
                <w:rFonts w:cs="Times New Roman"/>
                <w:szCs w:val="24"/>
              </w:rPr>
            </w:pPr>
            <w:r w:rsidRPr="009A7666">
              <w:rPr>
                <w:rFonts w:cs="Times New Roman"/>
                <w:szCs w:val="24"/>
              </w:rPr>
              <w:t>MPBV</w:t>
            </w:r>
          </w:p>
        </w:tc>
        <w:tc>
          <w:tcPr>
            <w:tcW w:w="1120" w:type="dxa"/>
            <w:tcBorders>
              <w:top w:val="single" w:sz="4" w:space="0" w:color="auto"/>
            </w:tcBorders>
          </w:tcPr>
          <w:p w14:paraId="4CEC2CD1" w14:textId="77777777" w:rsidR="00576F5A" w:rsidRPr="009A7666" w:rsidRDefault="00576F5A" w:rsidP="00576F5A">
            <w:pPr>
              <w:spacing w:line="240" w:lineRule="auto"/>
              <w:jc w:val="center"/>
              <w:rPr>
                <w:rFonts w:cs="Times New Roman"/>
                <w:szCs w:val="24"/>
              </w:rPr>
            </w:pPr>
            <w:r w:rsidRPr="009A7666">
              <w:rPr>
                <w:rFonts w:cs="Times New Roman"/>
                <w:szCs w:val="24"/>
              </w:rPr>
              <w:t>-.0145</w:t>
            </w:r>
          </w:p>
        </w:tc>
        <w:tc>
          <w:tcPr>
            <w:tcW w:w="1232" w:type="dxa"/>
            <w:tcBorders>
              <w:top w:val="single" w:sz="4" w:space="0" w:color="auto"/>
            </w:tcBorders>
          </w:tcPr>
          <w:p w14:paraId="1B8024EC" w14:textId="77777777" w:rsidR="00576F5A" w:rsidRPr="009A7666" w:rsidRDefault="00576F5A" w:rsidP="00576F5A">
            <w:pPr>
              <w:spacing w:line="240" w:lineRule="auto"/>
              <w:jc w:val="center"/>
              <w:rPr>
                <w:rFonts w:cs="Times New Roman"/>
                <w:szCs w:val="24"/>
              </w:rPr>
            </w:pPr>
            <w:r w:rsidRPr="009A7666">
              <w:rPr>
                <w:rFonts w:cs="Times New Roman"/>
                <w:szCs w:val="24"/>
              </w:rPr>
              <w:t>.0037</w:t>
            </w:r>
          </w:p>
        </w:tc>
        <w:tc>
          <w:tcPr>
            <w:tcW w:w="1190" w:type="dxa"/>
            <w:tcBorders>
              <w:top w:val="single" w:sz="4" w:space="0" w:color="auto"/>
            </w:tcBorders>
          </w:tcPr>
          <w:p w14:paraId="1E1520CB" w14:textId="77777777" w:rsidR="00576F5A" w:rsidRPr="009A7666" w:rsidRDefault="00576F5A" w:rsidP="00576F5A">
            <w:pPr>
              <w:spacing w:line="240" w:lineRule="auto"/>
              <w:jc w:val="center"/>
              <w:rPr>
                <w:rFonts w:cs="Times New Roman"/>
                <w:szCs w:val="24"/>
              </w:rPr>
            </w:pPr>
            <w:r w:rsidRPr="009A7666">
              <w:rPr>
                <w:rFonts w:cs="Times New Roman"/>
                <w:szCs w:val="24"/>
              </w:rPr>
              <w:t>-3.90</w:t>
            </w:r>
          </w:p>
        </w:tc>
        <w:tc>
          <w:tcPr>
            <w:tcW w:w="1154" w:type="dxa"/>
            <w:tcBorders>
              <w:top w:val="single" w:sz="4" w:space="0" w:color="auto"/>
            </w:tcBorders>
          </w:tcPr>
          <w:p w14:paraId="2B97C1EC" w14:textId="77777777" w:rsidR="00576F5A" w:rsidRPr="009A7666" w:rsidRDefault="00576F5A" w:rsidP="00576F5A">
            <w:pPr>
              <w:spacing w:line="240" w:lineRule="auto"/>
              <w:jc w:val="center"/>
              <w:rPr>
                <w:rFonts w:cs="Times New Roman"/>
                <w:szCs w:val="24"/>
              </w:rPr>
            </w:pPr>
            <w:r w:rsidRPr="009A7666">
              <w:rPr>
                <w:rFonts w:cs="Times New Roman"/>
                <w:szCs w:val="24"/>
              </w:rPr>
              <w:t>.000</w:t>
            </w:r>
          </w:p>
        </w:tc>
        <w:tc>
          <w:tcPr>
            <w:tcW w:w="1264" w:type="dxa"/>
            <w:tcBorders>
              <w:top w:val="single" w:sz="4" w:space="0" w:color="auto"/>
            </w:tcBorders>
          </w:tcPr>
          <w:p w14:paraId="77F73AB8" w14:textId="77777777" w:rsidR="00576F5A" w:rsidRPr="009A7666" w:rsidRDefault="00576F5A" w:rsidP="00576F5A">
            <w:pPr>
              <w:spacing w:line="240" w:lineRule="auto"/>
              <w:jc w:val="center"/>
              <w:rPr>
                <w:rFonts w:cs="Times New Roman"/>
                <w:szCs w:val="24"/>
              </w:rPr>
            </w:pPr>
            <w:r w:rsidRPr="009A7666">
              <w:rPr>
                <w:rFonts w:cs="Times New Roman"/>
                <w:szCs w:val="24"/>
              </w:rPr>
              <w:t>-.0218</w:t>
            </w:r>
          </w:p>
        </w:tc>
        <w:tc>
          <w:tcPr>
            <w:tcW w:w="1266" w:type="dxa"/>
            <w:tcBorders>
              <w:top w:val="single" w:sz="4" w:space="0" w:color="auto"/>
            </w:tcBorders>
          </w:tcPr>
          <w:p w14:paraId="6294A9B1" w14:textId="77777777" w:rsidR="00576F5A" w:rsidRPr="009A7666" w:rsidRDefault="00576F5A" w:rsidP="00576F5A">
            <w:pPr>
              <w:spacing w:line="240" w:lineRule="auto"/>
              <w:jc w:val="center"/>
              <w:rPr>
                <w:rFonts w:cs="Times New Roman"/>
                <w:szCs w:val="24"/>
              </w:rPr>
            </w:pPr>
            <w:r w:rsidRPr="009A7666">
              <w:rPr>
                <w:rFonts w:cs="Times New Roman"/>
                <w:szCs w:val="24"/>
              </w:rPr>
              <w:t>-.0072</w:t>
            </w:r>
          </w:p>
        </w:tc>
      </w:tr>
      <w:tr w:rsidR="009A7666" w:rsidRPr="009A7666" w14:paraId="66D156AD" w14:textId="77777777" w:rsidTr="00076C9B">
        <w:trPr>
          <w:trHeight w:val="280"/>
          <w:jc w:val="center"/>
        </w:trPr>
        <w:tc>
          <w:tcPr>
            <w:tcW w:w="1788" w:type="dxa"/>
          </w:tcPr>
          <w:p w14:paraId="0F688464" w14:textId="77777777" w:rsidR="00576F5A" w:rsidRPr="009A7666" w:rsidRDefault="00576F5A" w:rsidP="00576F5A">
            <w:pPr>
              <w:spacing w:line="240" w:lineRule="auto"/>
              <w:rPr>
                <w:rFonts w:cs="Times New Roman"/>
                <w:szCs w:val="24"/>
              </w:rPr>
            </w:pPr>
            <w:r w:rsidRPr="009A7666">
              <w:rPr>
                <w:rFonts w:cs="Times New Roman"/>
                <w:szCs w:val="24"/>
              </w:rPr>
              <w:t>EPS</w:t>
            </w:r>
          </w:p>
        </w:tc>
        <w:tc>
          <w:tcPr>
            <w:tcW w:w="1120" w:type="dxa"/>
          </w:tcPr>
          <w:p w14:paraId="37ABAB4C" w14:textId="77777777" w:rsidR="00576F5A" w:rsidRPr="009A7666" w:rsidRDefault="00576F5A" w:rsidP="00576F5A">
            <w:pPr>
              <w:spacing w:line="240" w:lineRule="auto"/>
              <w:jc w:val="center"/>
              <w:rPr>
                <w:rFonts w:cs="Times New Roman"/>
                <w:szCs w:val="24"/>
              </w:rPr>
            </w:pPr>
            <w:r w:rsidRPr="009A7666">
              <w:rPr>
                <w:rFonts w:cs="Times New Roman"/>
                <w:szCs w:val="24"/>
              </w:rPr>
              <w:t>-.0023</w:t>
            </w:r>
          </w:p>
        </w:tc>
        <w:tc>
          <w:tcPr>
            <w:tcW w:w="1232" w:type="dxa"/>
          </w:tcPr>
          <w:p w14:paraId="4FD75A93" w14:textId="77777777" w:rsidR="00576F5A" w:rsidRPr="009A7666" w:rsidRDefault="00576F5A" w:rsidP="00576F5A">
            <w:pPr>
              <w:spacing w:line="240" w:lineRule="auto"/>
              <w:jc w:val="center"/>
              <w:rPr>
                <w:rFonts w:cs="Times New Roman"/>
                <w:szCs w:val="24"/>
              </w:rPr>
            </w:pPr>
            <w:r w:rsidRPr="009A7666">
              <w:rPr>
                <w:rFonts w:cs="Times New Roman"/>
                <w:szCs w:val="24"/>
              </w:rPr>
              <w:t>.0004</w:t>
            </w:r>
          </w:p>
        </w:tc>
        <w:tc>
          <w:tcPr>
            <w:tcW w:w="1190" w:type="dxa"/>
          </w:tcPr>
          <w:p w14:paraId="13BA9CAF" w14:textId="77777777" w:rsidR="00576F5A" w:rsidRPr="009A7666" w:rsidRDefault="00576F5A" w:rsidP="00576F5A">
            <w:pPr>
              <w:spacing w:line="240" w:lineRule="auto"/>
              <w:jc w:val="center"/>
              <w:rPr>
                <w:rFonts w:cs="Times New Roman"/>
                <w:szCs w:val="24"/>
              </w:rPr>
            </w:pPr>
            <w:r w:rsidRPr="009A7666">
              <w:rPr>
                <w:rFonts w:cs="Times New Roman"/>
                <w:szCs w:val="24"/>
              </w:rPr>
              <w:t>-5.69</w:t>
            </w:r>
          </w:p>
        </w:tc>
        <w:tc>
          <w:tcPr>
            <w:tcW w:w="1154" w:type="dxa"/>
          </w:tcPr>
          <w:p w14:paraId="7919B2E6" w14:textId="77777777" w:rsidR="00576F5A" w:rsidRPr="009A7666" w:rsidRDefault="00576F5A" w:rsidP="00576F5A">
            <w:pPr>
              <w:spacing w:line="240" w:lineRule="auto"/>
              <w:jc w:val="center"/>
              <w:rPr>
                <w:rFonts w:cs="Times New Roman"/>
                <w:szCs w:val="24"/>
              </w:rPr>
            </w:pPr>
            <w:r w:rsidRPr="009A7666">
              <w:rPr>
                <w:rFonts w:cs="Times New Roman"/>
                <w:szCs w:val="24"/>
              </w:rPr>
              <w:t>.000</w:t>
            </w:r>
          </w:p>
        </w:tc>
        <w:tc>
          <w:tcPr>
            <w:tcW w:w="1264" w:type="dxa"/>
          </w:tcPr>
          <w:p w14:paraId="69F10CC6" w14:textId="77777777" w:rsidR="00576F5A" w:rsidRPr="009A7666" w:rsidRDefault="00576F5A" w:rsidP="00576F5A">
            <w:pPr>
              <w:spacing w:line="240" w:lineRule="auto"/>
              <w:jc w:val="center"/>
              <w:rPr>
                <w:rFonts w:cs="Times New Roman"/>
                <w:szCs w:val="24"/>
              </w:rPr>
            </w:pPr>
            <w:r w:rsidRPr="009A7666">
              <w:rPr>
                <w:rFonts w:cs="Times New Roman"/>
                <w:szCs w:val="24"/>
              </w:rPr>
              <w:t>-.0031</w:t>
            </w:r>
          </w:p>
        </w:tc>
        <w:tc>
          <w:tcPr>
            <w:tcW w:w="1266" w:type="dxa"/>
          </w:tcPr>
          <w:p w14:paraId="5F84056F" w14:textId="77777777" w:rsidR="00576F5A" w:rsidRPr="009A7666" w:rsidRDefault="00576F5A" w:rsidP="00576F5A">
            <w:pPr>
              <w:spacing w:line="240" w:lineRule="auto"/>
              <w:jc w:val="center"/>
              <w:rPr>
                <w:rFonts w:cs="Times New Roman"/>
                <w:szCs w:val="24"/>
              </w:rPr>
            </w:pPr>
            <w:r w:rsidRPr="009A7666">
              <w:rPr>
                <w:rFonts w:cs="Times New Roman"/>
                <w:szCs w:val="24"/>
              </w:rPr>
              <w:t>-.0015</w:t>
            </w:r>
          </w:p>
        </w:tc>
      </w:tr>
      <w:tr w:rsidR="009A7666" w:rsidRPr="009A7666" w14:paraId="3077BC2A" w14:textId="77777777" w:rsidTr="00076C9B">
        <w:trPr>
          <w:trHeight w:val="280"/>
          <w:jc w:val="center"/>
        </w:trPr>
        <w:tc>
          <w:tcPr>
            <w:tcW w:w="1788" w:type="dxa"/>
          </w:tcPr>
          <w:p w14:paraId="07F72582" w14:textId="77777777" w:rsidR="00576F5A" w:rsidRPr="009A7666" w:rsidRDefault="00576F5A" w:rsidP="00576F5A">
            <w:pPr>
              <w:spacing w:line="240" w:lineRule="auto"/>
              <w:rPr>
                <w:rFonts w:cs="Times New Roman"/>
                <w:szCs w:val="24"/>
              </w:rPr>
            </w:pPr>
            <w:r w:rsidRPr="009A7666">
              <w:rPr>
                <w:rFonts w:cs="Times New Roman"/>
                <w:szCs w:val="24"/>
              </w:rPr>
              <w:t>PER</w:t>
            </w:r>
          </w:p>
        </w:tc>
        <w:tc>
          <w:tcPr>
            <w:tcW w:w="1120" w:type="dxa"/>
          </w:tcPr>
          <w:p w14:paraId="2F66ACF7" w14:textId="77777777" w:rsidR="00576F5A" w:rsidRPr="009A7666" w:rsidRDefault="00576F5A" w:rsidP="00576F5A">
            <w:pPr>
              <w:spacing w:line="240" w:lineRule="auto"/>
              <w:jc w:val="center"/>
              <w:rPr>
                <w:rFonts w:cs="Times New Roman"/>
                <w:szCs w:val="24"/>
              </w:rPr>
            </w:pPr>
            <w:r w:rsidRPr="009A7666">
              <w:rPr>
                <w:rFonts w:cs="Times New Roman"/>
                <w:szCs w:val="24"/>
              </w:rPr>
              <w:t>-.0002</w:t>
            </w:r>
          </w:p>
        </w:tc>
        <w:tc>
          <w:tcPr>
            <w:tcW w:w="1232" w:type="dxa"/>
          </w:tcPr>
          <w:p w14:paraId="1106572D" w14:textId="77777777" w:rsidR="00576F5A" w:rsidRPr="009A7666" w:rsidRDefault="00576F5A" w:rsidP="00576F5A">
            <w:pPr>
              <w:spacing w:line="240" w:lineRule="auto"/>
              <w:jc w:val="center"/>
              <w:rPr>
                <w:rFonts w:cs="Times New Roman"/>
                <w:szCs w:val="24"/>
              </w:rPr>
            </w:pPr>
            <w:r w:rsidRPr="009A7666">
              <w:rPr>
                <w:rFonts w:cs="Times New Roman"/>
                <w:szCs w:val="24"/>
              </w:rPr>
              <w:t>.0003</w:t>
            </w:r>
          </w:p>
        </w:tc>
        <w:tc>
          <w:tcPr>
            <w:tcW w:w="1190" w:type="dxa"/>
          </w:tcPr>
          <w:p w14:paraId="3B4B0BDA" w14:textId="77777777" w:rsidR="00576F5A" w:rsidRPr="009A7666" w:rsidRDefault="00576F5A" w:rsidP="00576F5A">
            <w:pPr>
              <w:spacing w:line="240" w:lineRule="auto"/>
              <w:jc w:val="center"/>
              <w:rPr>
                <w:rFonts w:cs="Times New Roman"/>
                <w:szCs w:val="24"/>
              </w:rPr>
            </w:pPr>
            <w:r w:rsidRPr="009A7666">
              <w:rPr>
                <w:rFonts w:cs="Times New Roman"/>
                <w:szCs w:val="24"/>
              </w:rPr>
              <w:t>-.65</w:t>
            </w:r>
          </w:p>
        </w:tc>
        <w:tc>
          <w:tcPr>
            <w:tcW w:w="1154" w:type="dxa"/>
          </w:tcPr>
          <w:p w14:paraId="49126E01" w14:textId="77777777" w:rsidR="00576F5A" w:rsidRPr="009A7666" w:rsidRDefault="00576F5A" w:rsidP="00576F5A">
            <w:pPr>
              <w:spacing w:line="240" w:lineRule="auto"/>
              <w:jc w:val="center"/>
              <w:rPr>
                <w:rFonts w:cs="Times New Roman"/>
                <w:szCs w:val="24"/>
              </w:rPr>
            </w:pPr>
            <w:r w:rsidRPr="009A7666">
              <w:rPr>
                <w:rFonts w:cs="Times New Roman"/>
                <w:szCs w:val="24"/>
              </w:rPr>
              <w:t>.514</w:t>
            </w:r>
          </w:p>
        </w:tc>
        <w:tc>
          <w:tcPr>
            <w:tcW w:w="1264" w:type="dxa"/>
          </w:tcPr>
          <w:p w14:paraId="631304F6" w14:textId="77777777" w:rsidR="00576F5A" w:rsidRPr="009A7666" w:rsidRDefault="00576F5A" w:rsidP="00576F5A">
            <w:pPr>
              <w:spacing w:line="240" w:lineRule="auto"/>
              <w:jc w:val="center"/>
              <w:rPr>
                <w:rFonts w:cs="Times New Roman"/>
                <w:szCs w:val="24"/>
              </w:rPr>
            </w:pPr>
            <w:r w:rsidRPr="009A7666">
              <w:rPr>
                <w:rFonts w:cs="Times New Roman"/>
                <w:szCs w:val="24"/>
              </w:rPr>
              <w:t>-.0007</w:t>
            </w:r>
          </w:p>
        </w:tc>
        <w:tc>
          <w:tcPr>
            <w:tcW w:w="1266" w:type="dxa"/>
          </w:tcPr>
          <w:p w14:paraId="6BB24115" w14:textId="77777777" w:rsidR="00576F5A" w:rsidRPr="009A7666" w:rsidRDefault="00576F5A" w:rsidP="00576F5A">
            <w:pPr>
              <w:spacing w:line="240" w:lineRule="auto"/>
              <w:jc w:val="center"/>
              <w:rPr>
                <w:rFonts w:cs="Times New Roman"/>
                <w:szCs w:val="24"/>
              </w:rPr>
            </w:pPr>
            <w:r w:rsidRPr="009A7666">
              <w:rPr>
                <w:rFonts w:cs="Times New Roman"/>
                <w:szCs w:val="24"/>
              </w:rPr>
              <w:t>.0003</w:t>
            </w:r>
          </w:p>
        </w:tc>
      </w:tr>
      <w:tr w:rsidR="009A7666" w:rsidRPr="009A7666" w14:paraId="3210B746" w14:textId="77777777" w:rsidTr="00076C9B">
        <w:trPr>
          <w:trHeight w:val="280"/>
          <w:jc w:val="center"/>
        </w:trPr>
        <w:tc>
          <w:tcPr>
            <w:tcW w:w="1788" w:type="dxa"/>
            <w:tcBorders>
              <w:bottom w:val="nil"/>
            </w:tcBorders>
          </w:tcPr>
          <w:p w14:paraId="7C7A62B5" w14:textId="77777777" w:rsidR="00576F5A" w:rsidRPr="009A7666" w:rsidRDefault="00576F5A" w:rsidP="00576F5A">
            <w:pPr>
              <w:spacing w:line="240" w:lineRule="auto"/>
              <w:rPr>
                <w:rFonts w:cs="Times New Roman"/>
                <w:szCs w:val="24"/>
              </w:rPr>
            </w:pPr>
            <w:r w:rsidRPr="009A7666">
              <w:rPr>
                <w:rFonts w:cs="Times New Roman"/>
                <w:szCs w:val="24"/>
              </w:rPr>
              <w:t>BVPS</w:t>
            </w:r>
          </w:p>
        </w:tc>
        <w:tc>
          <w:tcPr>
            <w:tcW w:w="1120" w:type="dxa"/>
            <w:tcBorders>
              <w:bottom w:val="nil"/>
            </w:tcBorders>
          </w:tcPr>
          <w:p w14:paraId="7E29B695" w14:textId="77777777" w:rsidR="00576F5A" w:rsidRPr="009A7666" w:rsidRDefault="00576F5A" w:rsidP="00576F5A">
            <w:pPr>
              <w:spacing w:line="240" w:lineRule="auto"/>
              <w:jc w:val="center"/>
              <w:rPr>
                <w:rFonts w:cs="Times New Roman"/>
                <w:szCs w:val="24"/>
              </w:rPr>
            </w:pPr>
            <w:r w:rsidRPr="009A7666">
              <w:rPr>
                <w:rFonts w:cs="Times New Roman"/>
                <w:szCs w:val="24"/>
              </w:rPr>
              <w:t>-.0003</w:t>
            </w:r>
          </w:p>
        </w:tc>
        <w:tc>
          <w:tcPr>
            <w:tcW w:w="1232" w:type="dxa"/>
            <w:tcBorders>
              <w:bottom w:val="nil"/>
            </w:tcBorders>
          </w:tcPr>
          <w:p w14:paraId="214E63A6" w14:textId="77777777" w:rsidR="00576F5A" w:rsidRPr="009A7666" w:rsidRDefault="00576F5A" w:rsidP="00576F5A">
            <w:pPr>
              <w:spacing w:line="240" w:lineRule="auto"/>
              <w:jc w:val="center"/>
              <w:rPr>
                <w:rFonts w:cs="Times New Roman"/>
                <w:szCs w:val="24"/>
              </w:rPr>
            </w:pPr>
            <w:r w:rsidRPr="009A7666">
              <w:rPr>
                <w:rFonts w:cs="Times New Roman"/>
                <w:szCs w:val="24"/>
              </w:rPr>
              <w:t>.0001</w:t>
            </w:r>
          </w:p>
        </w:tc>
        <w:tc>
          <w:tcPr>
            <w:tcW w:w="1190" w:type="dxa"/>
            <w:tcBorders>
              <w:bottom w:val="nil"/>
            </w:tcBorders>
          </w:tcPr>
          <w:p w14:paraId="575191F9" w14:textId="77777777" w:rsidR="00576F5A" w:rsidRPr="009A7666" w:rsidRDefault="00576F5A" w:rsidP="00576F5A">
            <w:pPr>
              <w:spacing w:line="240" w:lineRule="auto"/>
              <w:jc w:val="center"/>
              <w:rPr>
                <w:rFonts w:cs="Times New Roman"/>
                <w:szCs w:val="24"/>
              </w:rPr>
            </w:pPr>
            <w:r w:rsidRPr="009A7666">
              <w:rPr>
                <w:rFonts w:cs="Times New Roman"/>
                <w:szCs w:val="24"/>
              </w:rPr>
              <w:t>-4.77</w:t>
            </w:r>
          </w:p>
        </w:tc>
        <w:tc>
          <w:tcPr>
            <w:tcW w:w="1154" w:type="dxa"/>
            <w:tcBorders>
              <w:bottom w:val="nil"/>
            </w:tcBorders>
          </w:tcPr>
          <w:p w14:paraId="6F59DFE9" w14:textId="77777777" w:rsidR="00576F5A" w:rsidRPr="009A7666" w:rsidRDefault="00576F5A" w:rsidP="00576F5A">
            <w:pPr>
              <w:spacing w:line="240" w:lineRule="auto"/>
              <w:jc w:val="center"/>
              <w:rPr>
                <w:rFonts w:cs="Times New Roman"/>
                <w:szCs w:val="24"/>
              </w:rPr>
            </w:pPr>
            <w:r w:rsidRPr="009A7666">
              <w:rPr>
                <w:rFonts w:cs="Times New Roman"/>
                <w:szCs w:val="24"/>
              </w:rPr>
              <w:t>.000</w:t>
            </w:r>
          </w:p>
        </w:tc>
        <w:tc>
          <w:tcPr>
            <w:tcW w:w="1264" w:type="dxa"/>
            <w:tcBorders>
              <w:bottom w:val="nil"/>
            </w:tcBorders>
          </w:tcPr>
          <w:p w14:paraId="65EFE168" w14:textId="77777777" w:rsidR="00576F5A" w:rsidRPr="009A7666" w:rsidRDefault="00576F5A" w:rsidP="00576F5A">
            <w:pPr>
              <w:spacing w:line="240" w:lineRule="auto"/>
              <w:jc w:val="center"/>
              <w:rPr>
                <w:rFonts w:cs="Times New Roman"/>
                <w:szCs w:val="24"/>
              </w:rPr>
            </w:pPr>
            <w:r w:rsidRPr="009A7666">
              <w:rPr>
                <w:rFonts w:cs="Times New Roman"/>
                <w:szCs w:val="24"/>
              </w:rPr>
              <w:t>-.0004</w:t>
            </w:r>
          </w:p>
        </w:tc>
        <w:tc>
          <w:tcPr>
            <w:tcW w:w="1266" w:type="dxa"/>
            <w:tcBorders>
              <w:bottom w:val="nil"/>
            </w:tcBorders>
          </w:tcPr>
          <w:p w14:paraId="3EA7450C" w14:textId="77777777" w:rsidR="00576F5A" w:rsidRPr="009A7666" w:rsidRDefault="00576F5A" w:rsidP="00576F5A">
            <w:pPr>
              <w:spacing w:line="240" w:lineRule="auto"/>
              <w:jc w:val="center"/>
              <w:rPr>
                <w:rFonts w:cs="Times New Roman"/>
                <w:szCs w:val="24"/>
              </w:rPr>
            </w:pPr>
            <w:r w:rsidRPr="009A7666">
              <w:rPr>
                <w:rFonts w:cs="Times New Roman"/>
                <w:szCs w:val="24"/>
              </w:rPr>
              <w:t>-.0002</w:t>
            </w:r>
          </w:p>
        </w:tc>
      </w:tr>
      <w:tr w:rsidR="009A7666" w:rsidRPr="009A7666" w14:paraId="7B38E95E" w14:textId="77777777" w:rsidTr="00076C9B">
        <w:trPr>
          <w:trHeight w:val="280"/>
          <w:jc w:val="center"/>
        </w:trPr>
        <w:tc>
          <w:tcPr>
            <w:tcW w:w="1788" w:type="dxa"/>
            <w:tcBorders>
              <w:top w:val="nil"/>
              <w:bottom w:val="nil"/>
            </w:tcBorders>
          </w:tcPr>
          <w:p w14:paraId="4653D112" w14:textId="77777777" w:rsidR="00576F5A" w:rsidRPr="009A7666" w:rsidRDefault="00576F5A" w:rsidP="00576F5A">
            <w:pPr>
              <w:spacing w:line="240" w:lineRule="auto"/>
              <w:rPr>
                <w:rFonts w:cs="Times New Roman"/>
                <w:szCs w:val="24"/>
              </w:rPr>
            </w:pPr>
            <w:r w:rsidRPr="009A7666">
              <w:rPr>
                <w:rFonts w:cs="Times New Roman"/>
                <w:szCs w:val="24"/>
              </w:rPr>
              <w:t>DYR</w:t>
            </w:r>
          </w:p>
        </w:tc>
        <w:tc>
          <w:tcPr>
            <w:tcW w:w="1120" w:type="dxa"/>
            <w:tcBorders>
              <w:top w:val="nil"/>
              <w:bottom w:val="nil"/>
            </w:tcBorders>
          </w:tcPr>
          <w:p w14:paraId="188874CF" w14:textId="77777777" w:rsidR="00576F5A" w:rsidRPr="009A7666" w:rsidRDefault="00576F5A" w:rsidP="00576F5A">
            <w:pPr>
              <w:spacing w:line="240" w:lineRule="auto"/>
              <w:jc w:val="center"/>
              <w:rPr>
                <w:rFonts w:cs="Times New Roman"/>
                <w:szCs w:val="24"/>
              </w:rPr>
            </w:pPr>
            <w:r w:rsidRPr="009A7666">
              <w:rPr>
                <w:rFonts w:cs="Times New Roman"/>
                <w:szCs w:val="24"/>
              </w:rPr>
              <w:t>-.5188</w:t>
            </w:r>
          </w:p>
        </w:tc>
        <w:tc>
          <w:tcPr>
            <w:tcW w:w="1232" w:type="dxa"/>
            <w:tcBorders>
              <w:top w:val="nil"/>
              <w:bottom w:val="nil"/>
            </w:tcBorders>
          </w:tcPr>
          <w:p w14:paraId="45F5F7CD" w14:textId="77777777" w:rsidR="00576F5A" w:rsidRPr="009A7666" w:rsidRDefault="00576F5A" w:rsidP="00576F5A">
            <w:pPr>
              <w:spacing w:line="240" w:lineRule="auto"/>
              <w:jc w:val="center"/>
              <w:rPr>
                <w:rFonts w:cs="Times New Roman"/>
                <w:szCs w:val="24"/>
              </w:rPr>
            </w:pPr>
            <w:r w:rsidRPr="009A7666">
              <w:rPr>
                <w:rFonts w:cs="Times New Roman"/>
                <w:szCs w:val="24"/>
              </w:rPr>
              <w:t>.1109</w:t>
            </w:r>
          </w:p>
        </w:tc>
        <w:tc>
          <w:tcPr>
            <w:tcW w:w="1190" w:type="dxa"/>
            <w:tcBorders>
              <w:top w:val="nil"/>
              <w:bottom w:val="nil"/>
            </w:tcBorders>
          </w:tcPr>
          <w:p w14:paraId="08303BB5" w14:textId="77777777" w:rsidR="00576F5A" w:rsidRPr="009A7666" w:rsidRDefault="00576F5A" w:rsidP="00576F5A">
            <w:pPr>
              <w:spacing w:line="240" w:lineRule="auto"/>
              <w:jc w:val="center"/>
              <w:rPr>
                <w:rFonts w:cs="Times New Roman"/>
                <w:szCs w:val="24"/>
              </w:rPr>
            </w:pPr>
            <w:r w:rsidRPr="009A7666">
              <w:rPr>
                <w:rFonts w:cs="Times New Roman"/>
                <w:szCs w:val="24"/>
              </w:rPr>
              <w:t>-4.68</w:t>
            </w:r>
          </w:p>
        </w:tc>
        <w:tc>
          <w:tcPr>
            <w:tcW w:w="1154" w:type="dxa"/>
            <w:tcBorders>
              <w:top w:val="nil"/>
              <w:bottom w:val="nil"/>
            </w:tcBorders>
          </w:tcPr>
          <w:p w14:paraId="3D6F4620" w14:textId="77777777" w:rsidR="00576F5A" w:rsidRPr="009A7666" w:rsidRDefault="00576F5A" w:rsidP="00576F5A">
            <w:pPr>
              <w:spacing w:line="240" w:lineRule="auto"/>
              <w:jc w:val="center"/>
              <w:rPr>
                <w:rFonts w:cs="Times New Roman"/>
                <w:szCs w:val="24"/>
              </w:rPr>
            </w:pPr>
            <w:r w:rsidRPr="009A7666">
              <w:rPr>
                <w:rFonts w:cs="Times New Roman"/>
                <w:szCs w:val="24"/>
              </w:rPr>
              <w:t>.000</w:t>
            </w:r>
          </w:p>
        </w:tc>
        <w:tc>
          <w:tcPr>
            <w:tcW w:w="1264" w:type="dxa"/>
            <w:tcBorders>
              <w:top w:val="nil"/>
              <w:bottom w:val="nil"/>
            </w:tcBorders>
          </w:tcPr>
          <w:p w14:paraId="70E21C61" w14:textId="77777777" w:rsidR="00576F5A" w:rsidRPr="009A7666" w:rsidRDefault="00576F5A" w:rsidP="00576F5A">
            <w:pPr>
              <w:spacing w:line="240" w:lineRule="auto"/>
              <w:jc w:val="center"/>
              <w:rPr>
                <w:rFonts w:cs="Times New Roman"/>
                <w:szCs w:val="24"/>
              </w:rPr>
            </w:pPr>
            <w:r w:rsidRPr="009A7666">
              <w:rPr>
                <w:rFonts w:cs="Times New Roman"/>
                <w:szCs w:val="24"/>
              </w:rPr>
              <w:t>-7367</w:t>
            </w:r>
          </w:p>
        </w:tc>
        <w:tc>
          <w:tcPr>
            <w:tcW w:w="1266" w:type="dxa"/>
            <w:tcBorders>
              <w:top w:val="nil"/>
              <w:bottom w:val="nil"/>
            </w:tcBorders>
          </w:tcPr>
          <w:p w14:paraId="2D679E84" w14:textId="77777777" w:rsidR="00576F5A" w:rsidRPr="009A7666" w:rsidRDefault="00576F5A" w:rsidP="00576F5A">
            <w:pPr>
              <w:spacing w:line="240" w:lineRule="auto"/>
              <w:jc w:val="center"/>
              <w:rPr>
                <w:rFonts w:cs="Times New Roman"/>
                <w:szCs w:val="24"/>
              </w:rPr>
            </w:pPr>
            <w:r w:rsidRPr="009A7666">
              <w:rPr>
                <w:rFonts w:cs="Times New Roman"/>
                <w:szCs w:val="24"/>
              </w:rPr>
              <w:t>-.3010</w:t>
            </w:r>
          </w:p>
        </w:tc>
      </w:tr>
      <w:tr w:rsidR="009A7666" w:rsidRPr="009A7666" w14:paraId="712B7D9B" w14:textId="77777777" w:rsidTr="00076C9B">
        <w:trPr>
          <w:trHeight w:val="280"/>
          <w:jc w:val="center"/>
        </w:trPr>
        <w:tc>
          <w:tcPr>
            <w:tcW w:w="1788" w:type="dxa"/>
            <w:tcBorders>
              <w:top w:val="nil"/>
              <w:bottom w:val="nil"/>
            </w:tcBorders>
          </w:tcPr>
          <w:p w14:paraId="515DBCEC" w14:textId="77777777" w:rsidR="00576F5A" w:rsidRPr="009A7666" w:rsidRDefault="00576F5A" w:rsidP="00576F5A">
            <w:pPr>
              <w:spacing w:line="240" w:lineRule="auto"/>
              <w:rPr>
                <w:rFonts w:cs="Times New Roman"/>
                <w:szCs w:val="24"/>
              </w:rPr>
            </w:pPr>
            <w:r w:rsidRPr="009A7666">
              <w:rPr>
                <w:rFonts w:cs="Times New Roman"/>
                <w:szCs w:val="24"/>
              </w:rPr>
              <w:t>INS</w:t>
            </w:r>
          </w:p>
        </w:tc>
        <w:tc>
          <w:tcPr>
            <w:tcW w:w="1120" w:type="dxa"/>
            <w:tcBorders>
              <w:top w:val="nil"/>
              <w:bottom w:val="nil"/>
            </w:tcBorders>
          </w:tcPr>
          <w:p w14:paraId="14259AA8" w14:textId="77777777" w:rsidR="00576F5A" w:rsidRPr="009A7666" w:rsidRDefault="00576F5A" w:rsidP="00576F5A">
            <w:pPr>
              <w:spacing w:line="240" w:lineRule="auto"/>
              <w:jc w:val="center"/>
              <w:rPr>
                <w:rFonts w:cs="Times New Roman"/>
                <w:szCs w:val="24"/>
              </w:rPr>
            </w:pPr>
            <w:r w:rsidRPr="009A7666">
              <w:rPr>
                <w:rFonts w:cs="Times New Roman"/>
                <w:szCs w:val="24"/>
              </w:rPr>
              <w:t>-.0703</w:t>
            </w:r>
          </w:p>
        </w:tc>
        <w:tc>
          <w:tcPr>
            <w:tcW w:w="1232" w:type="dxa"/>
            <w:tcBorders>
              <w:top w:val="nil"/>
              <w:bottom w:val="nil"/>
            </w:tcBorders>
          </w:tcPr>
          <w:p w14:paraId="01AAC83F" w14:textId="77777777" w:rsidR="00576F5A" w:rsidRPr="009A7666" w:rsidRDefault="00576F5A" w:rsidP="00576F5A">
            <w:pPr>
              <w:spacing w:line="240" w:lineRule="auto"/>
              <w:jc w:val="center"/>
              <w:rPr>
                <w:rFonts w:cs="Times New Roman"/>
                <w:szCs w:val="24"/>
              </w:rPr>
            </w:pPr>
            <w:r w:rsidRPr="009A7666">
              <w:rPr>
                <w:rFonts w:cs="Times New Roman"/>
                <w:szCs w:val="24"/>
              </w:rPr>
              <w:t>.0255</w:t>
            </w:r>
          </w:p>
        </w:tc>
        <w:tc>
          <w:tcPr>
            <w:tcW w:w="1190" w:type="dxa"/>
            <w:tcBorders>
              <w:top w:val="nil"/>
              <w:bottom w:val="nil"/>
            </w:tcBorders>
          </w:tcPr>
          <w:p w14:paraId="0FD0C89F" w14:textId="77777777" w:rsidR="00576F5A" w:rsidRPr="009A7666" w:rsidRDefault="00576F5A" w:rsidP="00576F5A">
            <w:pPr>
              <w:spacing w:line="240" w:lineRule="auto"/>
              <w:jc w:val="center"/>
              <w:rPr>
                <w:rFonts w:cs="Times New Roman"/>
                <w:szCs w:val="24"/>
              </w:rPr>
            </w:pPr>
            <w:r w:rsidRPr="009A7666">
              <w:rPr>
                <w:rFonts w:cs="Times New Roman"/>
                <w:szCs w:val="24"/>
              </w:rPr>
              <w:t>-2.76</w:t>
            </w:r>
          </w:p>
        </w:tc>
        <w:tc>
          <w:tcPr>
            <w:tcW w:w="1154" w:type="dxa"/>
            <w:tcBorders>
              <w:top w:val="nil"/>
              <w:bottom w:val="nil"/>
            </w:tcBorders>
          </w:tcPr>
          <w:p w14:paraId="57AD23ED" w14:textId="77777777" w:rsidR="00576F5A" w:rsidRPr="009A7666" w:rsidRDefault="00576F5A" w:rsidP="00576F5A">
            <w:pPr>
              <w:spacing w:line="240" w:lineRule="auto"/>
              <w:jc w:val="center"/>
              <w:rPr>
                <w:rFonts w:cs="Times New Roman"/>
                <w:szCs w:val="24"/>
              </w:rPr>
            </w:pPr>
            <w:r w:rsidRPr="009A7666">
              <w:rPr>
                <w:rFonts w:cs="Times New Roman"/>
                <w:szCs w:val="24"/>
              </w:rPr>
              <w:t>.006</w:t>
            </w:r>
          </w:p>
        </w:tc>
        <w:tc>
          <w:tcPr>
            <w:tcW w:w="1264" w:type="dxa"/>
            <w:tcBorders>
              <w:top w:val="nil"/>
              <w:bottom w:val="nil"/>
            </w:tcBorders>
          </w:tcPr>
          <w:p w14:paraId="2848135D" w14:textId="77777777" w:rsidR="00576F5A" w:rsidRPr="009A7666" w:rsidRDefault="00576F5A" w:rsidP="00576F5A">
            <w:pPr>
              <w:spacing w:line="240" w:lineRule="auto"/>
              <w:jc w:val="center"/>
              <w:rPr>
                <w:rFonts w:cs="Times New Roman"/>
                <w:szCs w:val="24"/>
              </w:rPr>
            </w:pPr>
            <w:r w:rsidRPr="009A7666">
              <w:rPr>
                <w:rFonts w:cs="Times New Roman"/>
                <w:szCs w:val="24"/>
              </w:rPr>
              <w:t>-.1204</w:t>
            </w:r>
          </w:p>
        </w:tc>
        <w:tc>
          <w:tcPr>
            <w:tcW w:w="1266" w:type="dxa"/>
            <w:tcBorders>
              <w:top w:val="nil"/>
              <w:bottom w:val="nil"/>
            </w:tcBorders>
          </w:tcPr>
          <w:p w14:paraId="701BAF93" w14:textId="77777777" w:rsidR="00576F5A" w:rsidRPr="009A7666" w:rsidRDefault="00576F5A" w:rsidP="00576F5A">
            <w:pPr>
              <w:spacing w:line="240" w:lineRule="auto"/>
              <w:jc w:val="center"/>
              <w:rPr>
                <w:rFonts w:cs="Times New Roman"/>
                <w:szCs w:val="24"/>
              </w:rPr>
            </w:pPr>
            <w:r w:rsidRPr="009A7666">
              <w:rPr>
                <w:rFonts w:cs="Times New Roman"/>
                <w:szCs w:val="24"/>
              </w:rPr>
              <w:t>-.0202</w:t>
            </w:r>
          </w:p>
        </w:tc>
      </w:tr>
      <w:tr w:rsidR="009A7666" w:rsidRPr="009A7666" w14:paraId="10722474" w14:textId="77777777" w:rsidTr="00076C9B">
        <w:trPr>
          <w:trHeight w:val="280"/>
          <w:jc w:val="center"/>
        </w:trPr>
        <w:tc>
          <w:tcPr>
            <w:tcW w:w="1788" w:type="dxa"/>
            <w:tcBorders>
              <w:top w:val="nil"/>
            </w:tcBorders>
          </w:tcPr>
          <w:p w14:paraId="2C7E9008" w14:textId="77777777" w:rsidR="00576F5A" w:rsidRPr="009A7666" w:rsidRDefault="00576F5A" w:rsidP="00576F5A">
            <w:pPr>
              <w:spacing w:line="240" w:lineRule="auto"/>
              <w:rPr>
                <w:rFonts w:cs="Times New Roman"/>
                <w:szCs w:val="24"/>
              </w:rPr>
            </w:pPr>
            <w:r w:rsidRPr="009A7666">
              <w:rPr>
                <w:rFonts w:cs="Times New Roman"/>
                <w:szCs w:val="24"/>
              </w:rPr>
              <w:t>FS</w:t>
            </w:r>
          </w:p>
        </w:tc>
        <w:tc>
          <w:tcPr>
            <w:tcW w:w="1120" w:type="dxa"/>
            <w:tcBorders>
              <w:top w:val="nil"/>
            </w:tcBorders>
          </w:tcPr>
          <w:p w14:paraId="0E684BF7" w14:textId="77777777" w:rsidR="00576F5A" w:rsidRPr="009A7666" w:rsidRDefault="00576F5A" w:rsidP="00576F5A">
            <w:pPr>
              <w:spacing w:line="240" w:lineRule="auto"/>
              <w:jc w:val="center"/>
              <w:rPr>
                <w:rFonts w:cs="Times New Roman"/>
                <w:szCs w:val="24"/>
              </w:rPr>
            </w:pPr>
            <w:r w:rsidRPr="009A7666">
              <w:rPr>
                <w:rFonts w:cs="Times New Roman"/>
                <w:szCs w:val="24"/>
              </w:rPr>
              <w:t>-.0201</w:t>
            </w:r>
          </w:p>
        </w:tc>
        <w:tc>
          <w:tcPr>
            <w:tcW w:w="1232" w:type="dxa"/>
            <w:tcBorders>
              <w:top w:val="nil"/>
            </w:tcBorders>
          </w:tcPr>
          <w:p w14:paraId="5236FA07" w14:textId="77777777" w:rsidR="00576F5A" w:rsidRPr="009A7666" w:rsidRDefault="00576F5A" w:rsidP="00576F5A">
            <w:pPr>
              <w:spacing w:line="240" w:lineRule="auto"/>
              <w:jc w:val="center"/>
              <w:rPr>
                <w:rFonts w:cs="Times New Roman"/>
                <w:szCs w:val="24"/>
              </w:rPr>
            </w:pPr>
            <w:r w:rsidRPr="009A7666">
              <w:rPr>
                <w:rFonts w:cs="Times New Roman"/>
                <w:szCs w:val="24"/>
              </w:rPr>
              <w:t>.0087</w:t>
            </w:r>
          </w:p>
        </w:tc>
        <w:tc>
          <w:tcPr>
            <w:tcW w:w="1190" w:type="dxa"/>
            <w:tcBorders>
              <w:top w:val="nil"/>
            </w:tcBorders>
          </w:tcPr>
          <w:p w14:paraId="2222BA55" w14:textId="77777777" w:rsidR="00576F5A" w:rsidRPr="009A7666" w:rsidRDefault="00576F5A" w:rsidP="00576F5A">
            <w:pPr>
              <w:spacing w:line="240" w:lineRule="auto"/>
              <w:jc w:val="center"/>
              <w:rPr>
                <w:rFonts w:cs="Times New Roman"/>
                <w:szCs w:val="24"/>
              </w:rPr>
            </w:pPr>
            <w:r w:rsidRPr="009A7666">
              <w:rPr>
                <w:rFonts w:cs="Times New Roman"/>
                <w:szCs w:val="24"/>
              </w:rPr>
              <w:t>-2.32</w:t>
            </w:r>
          </w:p>
        </w:tc>
        <w:tc>
          <w:tcPr>
            <w:tcW w:w="1154" w:type="dxa"/>
            <w:tcBorders>
              <w:top w:val="nil"/>
            </w:tcBorders>
          </w:tcPr>
          <w:p w14:paraId="295315EA" w14:textId="77777777" w:rsidR="00576F5A" w:rsidRPr="009A7666" w:rsidRDefault="00576F5A" w:rsidP="00576F5A">
            <w:pPr>
              <w:spacing w:line="240" w:lineRule="auto"/>
              <w:jc w:val="center"/>
              <w:rPr>
                <w:rFonts w:cs="Times New Roman"/>
                <w:szCs w:val="24"/>
              </w:rPr>
            </w:pPr>
            <w:r w:rsidRPr="009A7666">
              <w:rPr>
                <w:rFonts w:cs="Times New Roman"/>
                <w:szCs w:val="24"/>
              </w:rPr>
              <w:t>.021</w:t>
            </w:r>
          </w:p>
        </w:tc>
        <w:tc>
          <w:tcPr>
            <w:tcW w:w="1264" w:type="dxa"/>
            <w:tcBorders>
              <w:top w:val="nil"/>
            </w:tcBorders>
          </w:tcPr>
          <w:p w14:paraId="737C6CF9" w14:textId="77777777" w:rsidR="00576F5A" w:rsidRPr="009A7666" w:rsidRDefault="00576F5A" w:rsidP="00576F5A">
            <w:pPr>
              <w:spacing w:line="240" w:lineRule="auto"/>
              <w:jc w:val="center"/>
              <w:rPr>
                <w:rFonts w:cs="Times New Roman"/>
                <w:szCs w:val="24"/>
              </w:rPr>
            </w:pPr>
            <w:r w:rsidRPr="009A7666">
              <w:rPr>
                <w:rFonts w:cs="Times New Roman"/>
                <w:szCs w:val="24"/>
              </w:rPr>
              <w:t>-.0372</w:t>
            </w:r>
          </w:p>
        </w:tc>
        <w:tc>
          <w:tcPr>
            <w:tcW w:w="1266" w:type="dxa"/>
            <w:tcBorders>
              <w:top w:val="nil"/>
            </w:tcBorders>
          </w:tcPr>
          <w:p w14:paraId="076D8ACA" w14:textId="77777777" w:rsidR="00576F5A" w:rsidRPr="009A7666" w:rsidRDefault="00576F5A" w:rsidP="00576F5A">
            <w:pPr>
              <w:spacing w:line="240" w:lineRule="auto"/>
              <w:jc w:val="center"/>
              <w:rPr>
                <w:rFonts w:cs="Times New Roman"/>
                <w:szCs w:val="24"/>
              </w:rPr>
            </w:pPr>
            <w:r w:rsidRPr="009A7666">
              <w:rPr>
                <w:rFonts w:cs="Times New Roman"/>
                <w:szCs w:val="24"/>
              </w:rPr>
              <w:t>-.0031</w:t>
            </w:r>
          </w:p>
        </w:tc>
      </w:tr>
      <w:tr w:rsidR="009A7666" w:rsidRPr="009A7666" w14:paraId="35662EE8" w14:textId="77777777" w:rsidTr="00076C9B">
        <w:trPr>
          <w:trHeight w:val="280"/>
          <w:jc w:val="center"/>
        </w:trPr>
        <w:tc>
          <w:tcPr>
            <w:tcW w:w="1788" w:type="dxa"/>
            <w:tcBorders>
              <w:top w:val="nil"/>
            </w:tcBorders>
          </w:tcPr>
          <w:p w14:paraId="05ED2B0B" w14:textId="77777777" w:rsidR="00576F5A" w:rsidRPr="009A7666" w:rsidRDefault="00576F5A" w:rsidP="00576F5A">
            <w:pPr>
              <w:spacing w:line="240" w:lineRule="auto"/>
              <w:rPr>
                <w:rFonts w:cs="Times New Roman"/>
                <w:szCs w:val="24"/>
              </w:rPr>
            </w:pPr>
            <w:r w:rsidRPr="009A7666">
              <w:rPr>
                <w:rFonts w:cs="Times New Roman"/>
                <w:szCs w:val="24"/>
              </w:rPr>
              <w:t>FG</w:t>
            </w:r>
          </w:p>
        </w:tc>
        <w:tc>
          <w:tcPr>
            <w:tcW w:w="1120" w:type="dxa"/>
            <w:tcBorders>
              <w:top w:val="nil"/>
            </w:tcBorders>
          </w:tcPr>
          <w:p w14:paraId="7699019C" w14:textId="77777777" w:rsidR="00576F5A" w:rsidRPr="009A7666" w:rsidRDefault="00576F5A" w:rsidP="00576F5A">
            <w:pPr>
              <w:spacing w:line="240" w:lineRule="auto"/>
              <w:jc w:val="center"/>
              <w:rPr>
                <w:rFonts w:cs="Times New Roman"/>
                <w:szCs w:val="24"/>
              </w:rPr>
            </w:pPr>
            <w:r w:rsidRPr="009A7666">
              <w:rPr>
                <w:rFonts w:cs="Times New Roman"/>
                <w:szCs w:val="24"/>
              </w:rPr>
              <w:t>-.0613</w:t>
            </w:r>
          </w:p>
        </w:tc>
        <w:tc>
          <w:tcPr>
            <w:tcW w:w="1232" w:type="dxa"/>
            <w:tcBorders>
              <w:top w:val="nil"/>
            </w:tcBorders>
          </w:tcPr>
          <w:p w14:paraId="66DFBBD9" w14:textId="77777777" w:rsidR="00576F5A" w:rsidRPr="009A7666" w:rsidRDefault="00576F5A" w:rsidP="00576F5A">
            <w:pPr>
              <w:spacing w:line="240" w:lineRule="auto"/>
              <w:jc w:val="center"/>
              <w:rPr>
                <w:rFonts w:cs="Times New Roman"/>
                <w:szCs w:val="24"/>
              </w:rPr>
            </w:pPr>
            <w:r w:rsidRPr="009A7666">
              <w:rPr>
                <w:rFonts w:cs="Times New Roman"/>
                <w:szCs w:val="24"/>
              </w:rPr>
              <w:t>.0271</w:t>
            </w:r>
          </w:p>
        </w:tc>
        <w:tc>
          <w:tcPr>
            <w:tcW w:w="1190" w:type="dxa"/>
            <w:tcBorders>
              <w:top w:val="nil"/>
            </w:tcBorders>
          </w:tcPr>
          <w:p w14:paraId="30366F8A" w14:textId="77777777" w:rsidR="00576F5A" w:rsidRPr="009A7666" w:rsidRDefault="00576F5A" w:rsidP="00576F5A">
            <w:pPr>
              <w:spacing w:line="240" w:lineRule="auto"/>
              <w:jc w:val="center"/>
              <w:rPr>
                <w:rFonts w:cs="Times New Roman"/>
                <w:szCs w:val="24"/>
              </w:rPr>
            </w:pPr>
            <w:r w:rsidRPr="009A7666">
              <w:rPr>
                <w:rFonts w:cs="Times New Roman"/>
                <w:szCs w:val="24"/>
              </w:rPr>
              <w:t>-2.26</w:t>
            </w:r>
          </w:p>
        </w:tc>
        <w:tc>
          <w:tcPr>
            <w:tcW w:w="1154" w:type="dxa"/>
            <w:tcBorders>
              <w:top w:val="nil"/>
            </w:tcBorders>
          </w:tcPr>
          <w:p w14:paraId="3361D6B4" w14:textId="77777777" w:rsidR="00576F5A" w:rsidRPr="009A7666" w:rsidRDefault="00576F5A" w:rsidP="00576F5A">
            <w:pPr>
              <w:spacing w:line="240" w:lineRule="auto"/>
              <w:jc w:val="center"/>
              <w:rPr>
                <w:rFonts w:cs="Times New Roman"/>
                <w:szCs w:val="24"/>
              </w:rPr>
            </w:pPr>
            <w:r w:rsidRPr="009A7666">
              <w:rPr>
                <w:rFonts w:cs="Times New Roman"/>
                <w:szCs w:val="24"/>
              </w:rPr>
              <w:t>.024</w:t>
            </w:r>
          </w:p>
        </w:tc>
        <w:tc>
          <w:tcPr>
            <w:tcW w:w="1264" w:type="dxa"/>
            <w:tcBorders>
              <w:top w:val="nil"/>
            </w:tcBorders>
          </w:tcPr>
          <w:p w14:paraId="4B767B80" w14:textId="77777777" w:rsidR="00576F5A" w:rsidRPr="009A7666" w:rsidRDefault="00576F5A" w:rsidP="00576F5A">
            <w:pPr>
              <w:spacing w:line="240" w:lineRule="auto"/>
              <w:jc w:val="center"/>
              <w:rPr>
                <w:rFonts w:cs="Times New Roman"/>
                <w:szCs w:val="24"/>
              </w:rPr>
            </w:pPr>
            <w:r w:rsidRPr="009A7666">
              <w:rPr>
                <w:rFonts w:cs="Times New Roman"/>
                <w:szCs w:val="24"/>
              </w:rPr>
              <w:t>-.1145</w:t>
            </w:r>
          </w:p>
        </w:tc>
        <w:tc>
          <w:tcPr>
            <w:tcW w:w="1266" w:type="dxa"/>
            <w:tcBorders>
              <w:top w:val="nil"/>
            </w:tcBorders>
          </w:tcPr>
          <w:p w14:paraId="1B6CBB9D" w14:textId="77777777" w:rsidR="00576F5A" w:rsidRPr="009A7666" w:rsidRDefault="00576F5A" w:rsidP="00576F5A">
            <w:pPr>
              <w:spacing w:line="240" w:lineRule="auto"/>
              <w:jc w:val="center"/>
              <w:rPr>
                <w:rFonts w:cs="Times New Roman"/>
                <w:szCs w:val="24"/>
              </w:rPr>
            </w:pPr>
            <w:r w:rsidRPr="009A7666">
              <w:rPr>
                <w:rFonts w:cs="Times New Roman"/>
                <w:szCs w:val="24"/>
              </w:rPr>
              <w:t>-.0080</w:t>
            </w:r>
          </w:p>
        </w:tc>
      </w:tr>
      <w:tr w:rsidR="009A7666" w:rsidRPr="009A7666" w14:paraId="5F495988" w14:textId="77777777" w:rsidTr="00076C9B">
        <w:trPr>
          <w:trHeight w:val="280"/>
          <w:jc w:val="center"/>
        </w:trPr>
        <w:tc>
          <w:tcPr>
            <w:tcW w:w="1788" w:type="dxa"/>
            <w:tcBorders>
              <w:top w:val="nil"/>
              <w:bottom w:val="single" w:sz="4" w:space="0" w:color="auto"/>
            </w:tcBorders>
          </w:tcPr>
          <w:p w14:paraId="2C224EF4" w14:textId="77777777" w:rsidR="00576F5A" w:rsidRPr="009A7666" w:rsidRDefault="00576F5A" w:rsidP="00576F5A">
            <w:pPr>
              <w:spacing w:line="240" w:lineRule="auto"/>
              <w:rPr>
                <w:rFonts w:cs="Times New Roman"/>
                <w:szCs w:val="24"/>
              </w:rPr>
            </w:pPr>
            <w:r w:rsidRPr="009A7666">
              <w:rPr>
                <w:rFonts w:cs="Times New Roman"/>
                <w:szCs w:val="24"/>
              </w:rPr>
              <w:t>Constant</w:t>
            </w:r>
          </w:p>
        </w:tc>
        <w:tc>
          <w:tcPr>
            <w:tcW w:w="1120" w:type="dxa"/>
            <w:tcBorders>
              <w:top w:val="nil"/>
              <w:bottom w:val="single" w:sz="4" w:space="0" w:color="auto"/>
            </w:tcBorders>
          </w:tcPr>
          <w:p w14:paraId="3B3BA3DC" w14:textId="77777777" w:rsidR="00576F5A" w:rsidRPr="009A7666" w:rsidRDefault="00576F5A" w:rsidP="00576F5A">
            <w:pPr>
              <w:spacing w:line="240" w:lineRule="auto"/>
              <w:jc w:val="center"/>
              <w:rPr>
                <w:rFonts w:cs="Times New Roman"/>
                <w:szCs w:val="24"/>
              </w:rPr>
            </w:pPr>
            <w:r w:rsidRPr="009A7666">
              <w:rPr>
                <w:rFonts w:cs="Times New Roman"/>
                <w:szCs w:val="24"/>
              </w:rPr>
              <w:t>.4106</w:t>
            </w:r>
          </w:p>
        </w:tc>
        <w:tc>
          <w:tcPr>
            <w:tcW w:w="1232" w:type="dxa"/>
            <w:tcBorders>
              <w:top w:val="nil"/>
              <w:bottom w:val="single" w:sz="4" w:space="0" w:color="auto"/>
            </w:tcBorders>
          </w:tcPr>
          <w:p w14:paraId="7A09F1C1" w14:textId="77777777" w:rsidR="00576F5A" w:rsidRPr="009A7666" w:rsidRDefault="00576F5A" w:rsidP="00576F5A">
            <w:pPr>
              <w:spacing w:line="240" w:lineRule="auto"/>
              <w:jc w:val="center"/>
              <w:rPr>
                <w:rFonts w:cs="Times New Roman"/>
                <w:szCs w:val="24"/>
              </w:rPr>
            </w:pPr>
            <w:r w:rsidRPr="009A7666">
              <w:rPr>
                <w:rFonts w:cs="Times New Roman"/>
                <w:szCs w:val="24"/>
              </w:rPr>
              <w:t>.0601</w:t>
            </w:r>
          </w:p>
        </w:tc>
        <w:tc>
          <w:tcPr>
            <w:tcW w:w="1190" w:type="dxa"/>
            <w:tcBorders>
              <w:top w:val="nil"/>
              <w:bottom w:val="single" w:sz="4" w:space="0" w:color="auto"/>
            </w:tcBorders>
          </w:tcPr>
          <w:p w14:paraId="6A8C7A36" w14:textId="77777777" w:rsidR="00576F5A" w:rsidRPr="009A7666" w:rsidRDefault="00576F5A" w:rsidP="00576F5A">
            <w:pPr>
              <w:spacing w:line="240" w:lineRule="auto"/>
              <w:jc w:val="center"/>
              <w:rPr>
                <w:rFonts w:cs="Times New Roman"/>
                <w:szCs w:val="24"/>
              </w:rPr>
            </w:pPr>
            <w:r w:rsidRPr="009A7666">
              <w:rPr>
                <w:rFonts w:cs="Times New Roman"/>
                <w:szCs w:val="24"/>
              </w:rPr>
              <w:t>6.84</w:t>
            </w:r>
          </w:p>
        </w:tc>
        <w:tc>
          <w:tcPr>
            <w:tcW w:w="1154" w:type="dxa"/>
            <w:tcBorders>
              <w:top w:val="nil"/>
              <w:bottom w:val="single" w:sz="4" w:space="0" w:color="auto"/>
            </w:tcBorders>
          </w:tcPr>
          <w:p w14:paraId="2A39689F" w14:textId="77777777" w:rsidR="00576F5A" w:rsidRPr="009A7666" w:rsidRDefault="00576F5A" w:rsidP="00576F5A">
            <w:pPr>
              <w:spacing w:line="240" w:lineRule="auto"/>
              <w:jc w:val="center"/>
              <w:rPr>
                <w:rFonts w:cs="Times New Roman"/>
                <w:szCs w:val="24"/>
              </w:rPr>
            </w:pPr>
            <w:r w:rsidRPr="009A7666">
              <w:rPr>
                <w:rFonts w:cs="Times New Roman"/>
                <w:szCs w:val="24"/>
              </w:rPr>
              <w:t>.000</w:t>
            </w:r>
          </w:p>
        </w:tc>
        <w:tc>
          <w:tcPr>
            <w:tcW w:w="1264" w:type="dxa"/>
            <w:tcBorders>
              <w:top w:val="nil"/>
              <w:bottom w:val="single" w:sz="4" w:space="0" w:color="auto"/>
            </w:tcBorders>
          </w:tcPr>
          <w:p w14:paraId="776F7107" w14:textId="77777777" w:rsidR="00576F5A" w:rsidRPr="009A7666" w:rsidRDefault="00576F5A" w:rsidP="00576F5A">
            <w:pPr>
              <w:spacing w:line="240" w:lineRule="auto"/>
              <w:jc w:val="center"/>
              <w:rPr>
                <w:rFonts w:cs="Times New Roman"/>
                <w:szCs w:val="24"/>
              </w:rPr>
            </w:pPr>
            <w:r w:rsidRPr="009A7666">
              <w:rPr>
                <w:rFonts w:cs="Times New Roman"/>
                <w:szCs w:val="24"/>
              </w:rPr>
              <w:t>.2925</w:t>
            </w:r>
          </w:p>
        </w:tc>
        <w:tc>
          <w:tcPr>
            <w:tcW w:w="1266" w:type="dxa"/>
            <w:tcBorders>
              <w:top w:val="nil"/>
              <w:bottom w:val="single" w:sz="4" w:space="0" w:color="auto"/>
            </w:tcBorders>
          </w:tcPr>
          <w:p w14:paraId="09500E82" w14:textId="77777777" w:rsidR="00576F5A" w:rsidRPr="009A7666" w:rsidRDefault="00576F5A" w:rsidP="00576F5A">
            <w:pPr>
              <w:spacing w:line="240" w:lineRule="auto"/>
              <w:jc w:val="center"/>
              <w:rPr>
                <w:rFonts w:cs="Times New Roman"/>
                <w:szCs w:val="24"/>
              </w:rPr>
            </w:pPr>
            <w:r w:rsidRPr="009A7666">
              <w:rPr>
                <w:rFonts w:cs="Times New Roman"/>
                <w:szCs w:val="24"/>
              </w:rPr>
              <w:t>.5286</w:t>
            </w:r>
          </w:p>
        </w:tc>
      </w:tr>
      <w:tr w:rsidR="009A7666" w:rsidRPr="009A7666" w14:paraId="508C656C" w14:textId="77777777" w:rsidTr="00076C9B">
        <w:trPr>
          <w:trHeight w:val="280"/>
          <w:jc w:val="center"/>
        </w:trPr>
        <w:tc>
          <w:tcPr>
            <w:tcW w:w="1788" w:type="dxa"/>
            <w:tcBorders>
              <w:top w:val="single" w:sz="4" w:space="0" w:color="auto"/>
              <w:bottom w:val="nil"/>
            </w:tcBorders>
          </w:tcPr>
          <w:p w14:paraId="1BFC9B1D" w14:textId="77777777" w:rsidR="00576F5A" w:rsidRPr="009A7666" w:rsidRDefault="00576F5A" w:rsidP="00576F5A">
            <w:pPr>
              <w:spacing w:line="240" w:lineRule="auto"/>
              <w:rPr>
                <w:rFonts w:cs="Times New Roman"/>
                <w:szCs w:val="24"/>
              </w:rPr>
            </w:pPr>
            <w:r w:rsidRPr="009A7666">
              <w:rPr>
                <w:rFonts w:cs="Times New Roman"/>
                <w:szCs w:val="24"/>
              </w:rPr>
              <w:t>Sigma_</w:t>
            </w:r>
            <m:oMath>
              <m:sSub>
                <m:sSubPr>
                  <m:ctrlPr>
                    <w:rPr>
                      <w:rFonts w:ascii="Cambria Math" w:hAnsi="Cambria Math" w:cs="Times New Roman"/>
                      <w:i/>
                      <w:szCs w:val="24"/>
                    </w:rPr>
                  </m:ctrlPr>
                </m:sSubPr>
                <m:e>
                  <m:r>
                    <w:rPr>
                      <w:rFonts w:ascii="Cambria Math" w:hAnsi="Cambria Math" w:cs="Times New Roman"/>
                      <w:szCs w:val="24"/>
                    </w:rPr>
                    <m:t>μ</m:t>
                  </m:r>
                </m:e>
                <m:sub>
                  <m:r>
                    <w:rPr>
                      <w:rFonts w:ascii="Cambria Math" w:hAnsi="Cambria Math" w:cs="Times New Roman"/>
                      <w:szCs w:val="24"/>
                    </w:rPr>
                    <m:t>i</m:t>
                  </m:r>
                </m:sub>
              </m:sSub>
            </m:oMath>
          </w:p>
        </w:tc>
        <w:tc>
          <w:tcPr>
            <w:tcW w:w="1120" w:type="dxa"/>
            <w:tcBorders>
              <w:top w:val="single" w:sz="4" w:space="0" w:color="auto"/>
              <w:bottom w:val="nil"/>
            </w:tcBorders>
          </w:tcPr>
          <w:p w14:paraId="44D75FCE" w14:textId="77777777" w:rsidR="00576F5A" w:rsidRPr="009A7666" w:rsidRDefault="00576F5A" w:rsidP="00576F5A">
            <w:pPr>
              <w:spacing w:line="240" w:lineRule="auto"/>
              <w:jc w:val="center"/>
              <w:rPr>
                <w:rFonts w:cs="Times New Roman"/>
                <w:szCs w:val="24"/>
              </w:rPr>
            </w:pPr>
            <w:r w:rsidRPr="009A7666">
              <w:rPr>
                <w:rFonts w:cs="Times New Roman"/>
                <w:szCs w:val="24"/>
              </w:rPr>
              <w:t>.0206</w:t>
            </w:r>
          </w:p>
        </w:tc>
        <w:tc>
          <w:tcPr>
            <w:tcW w:w="1232" w:type="dxa"/>
            <w:tcBorders>
              <w:top w:val="single" w:sz="4" w:space="0" w:color="auto"/>
              <w:bottom w:val="nil"/>
            </w:tcBorders>
          </w:tcPr>
          <w:p w14:paraId="15834B7D" w14:textId="77777777" w:rsidR="00576F5A" w:rsidRPr="009A7666" w:rsidRDefault="00576F5A" w:rsidP="00576F5A">
            <w:pPr>
              <w:spacing w:line="240" w:lineRule="auto"/>
              <w:jc w:val="center"/>
              <w:rPr>
                <w:rFonts w:cs="Times New Roman"/>
                <w:szCs w:val="24"/>
              </w:rPr>
            </w:pPr>
          </w:p>
        </w:tc>
        <w:tc>
          <w:tcPr>
            <w:tcW w:w="1190" w:type="dxa"/>
            <w:tcBorders>
              <w:top w:val="single" w:sz="4" w:space="0" w:color="auto"/>
              <w:bottom w:val="nil"/>
            </w:tcBorders>
          </w:tcPr>
          <w:p w14:paraId="68F3B23B" w14:textId="77777777" w:rsidR="00576F5A" w:rsidRPr="009A7666" w:rsidRDefault="00576F5A" w:rsidP="00576F5A">
            <w:pPr>
              <w:spacing w:line="240" w:lineRule="auto"/>
              <w:jc w:val="center"/>
              <w:rPr>
                <w:rFonts w:cs="Times New Roman"/>
                <w:szCs w:val="24"/>
              </w:rPr>
            </w:pPr>
          </w:p>
        </w:tc>
        <w:tc>
          <w:tcPr>
            <w:tcW w:w="1154" w:type="dxa"/>
            <w:tcBorders>
              <w:top w:val="single" w:sz="4" w:space="0" w:color="auto"/>
              <w:bottom w:val="nil"/>
            </w:tcBorders>
          </w:tcPr>
          <w:p w14:paraId="680967A2" w14:textId="77777777" w:rsidR="00576F5A" w:rsidRPr="009A7666" w:rsidRDefault="00576F5A" w:rsidP="00576F5A">
            <w:pPr>
              <w:spacing w:line="240" w:lineRule="auto"/>
              <w:jc w:val="center"/>
              <w:rPr>
                <w:rFonts w:cs="Times New Roman"/>
                <w:szCs w:val="24"/>
              </w:rPr>
            </w:pPr>
          </w:p>
        </w:tc>
        <w:tc>
          <w:tcPr>
            <w:tcW w:w="1264" w:type="dxa"/>
            <w:tcBorders>
              <w:top w:val="single" w:sz="4" w:space="0" w:color="auto"/>
              <w:bottom w:val="nil"/>
            </w:tcBorders>
          </w:tcPr>
          <w:p w14:paraId="4BD9A8C3" w14:textId="77777777" w:rsidR="00576F5A" w:rsidRPr="009A7666" w:rsidRDefault="00576F5A" w:rsidP="00576F5A">
            <w:pPr>
              <w:spacing w:line="240" w:lineRule="auto"/>
              <w:jc w:val="center"/>
              <w:rPr>
                <w:rFonts w:cs="Times New Roman"/>
                <w:szCs w:val="24"/>
              </w:rPr>
            </w:pPr>
          </w:p>
        </w:tc>
        <w:tc>
          <w:tcPr>
            <w:tcW w:w="1266" w:type="dxa"/>
            <w:tcBorders>
              <w:top w:val="single" w:sz="4" w:space="0" w:color="auto"/>
              <w:bottom w:val="nil"/>
            </w:tcBorders>
          </w:tcPr>
          <w:p w14:paraId="782C24CB" w14:textId="77777777" w:rsidR="00576F5A" w:rsidRPr="009A7666" w:rsidRDefault="00576F5A" w:rsidP="00576F5A">
            <w:pPr>
              <w:spacing w:line="240" w:lineRule="auto"/>
              <w:jc w:val="center"/>
              <w:rPr>
                <w:rFonts w:cs="Times New Roman"/>
                <w:szCs w:val="24"/>
              </w:rPr>
            </w:pPr>
          </w:p>
        </w:tc>
      </w:tr>
      <w:tr w:rsidR="009A7666" w:rsidRPr="009A7666" w14:paraId="28E3A50A" w14:textId="77777777" w:rsidTr="00076C9B">
        <w:trPr>
          <w:trHeight w:val="280"/>
          <w:jc w:val="center"/>
        </w:trPr>
        <w:tc>
          <w:tcPr>
            <w:tcW w:w="1788" w:type="dxa"/>
            <w:tcBorders>
              <w:top w:val="nil"/>
              <w:bottom w:val="nil"/>
            </w:tcBorders>
          </w:tcPr>
          <w:p w14:paraId="351BCCCE" w14:textId="77777777" w:rsidR="00576F5A" w:rsidRPr="009A7666" w:rsidRDefault="00576F5A" w:rsidP="00576F5A">
            <w:pPr>
              <w:spacing w:line="240" w:lineRule="auto"/>
              <w:rPr>
                <w:rFonts w:cs="Times New Roman"/>
                <w:szCs w:val="24"/>
              </w:rPr>
            </w:pPr>
            <w:r w:rsidRPr="009A7666">
              <w:rPr>
                <w:rFonts w:cs="Times New Roman"/>
                <w:szCs w:val="24"/>
              </w:rPr>
              <w:t>Sigma_</w:t>
            </w:r>
            <m:oMath>
              <m:sSub>
                <m:sSubPr>
                  <m:ctrlPr>
                    <w:rPr>
                      <w:rFonts w:ascii="Cambria Math" w:hAnsi="Cambria Math" w:cs="Times New Roman"/>
                      <w:i/>
                      <w:szCs w:val="24"/>
                    </w:rPr>
                  </m:ctrlPr>
                </m:sSubPr>
                <m:e>
                  <m:r>
                    <w:rPr>
                      <w:rFonts w:ascii="Cambria Math" w:hAnsi="Cambria Math" w:cs="Times New Roman"/>
                      <w:szCs w:val="24"/>
                    </w:rPr>
                    <m:t>e</m:t>
                  </m:r>
                </m:e>
                <m:sub>
                  <m:r>
                    <w:rPr>
                      <w:rFonts w:ascii="Cambria Math" w:hAnsi="Cambria Math" w:cs="Times New Roman"/>
                      <w:szCs w:val="24"/>
                    </w:rPr>
                    <m:t>i</m:t>
                  </m:r>
                </m:sub>
              </m:sSub>
            </m:oMath>
          </w:p>
        </w:tc>
        <w:tc>
          <w:tcPr>
            <w:tcW w:w="1120" w:type="dxa"/>
            <w:tcBorders>
              <w:top w:val="nil"/>
              <w:bottom w:val="nil"/>
            </w:tcBorders>
          </w:tcPr>
          <w:p w14:paraId="068CDC3F" w14:textId="77777777" w:rsidR="00576F5A" w:rsidRPr="009A7666" w:rsidRDefault="00576F5A" w:rsidP="00576F5A">
            <w:pPr>
              <w:spacing w:line="240" w:lineRule="auto"/>
              <w:jc w:val="center"/>
              <w:rPr>
                <w:rFonts w:cs="Times New Roman"/>
                <w:szCs w:val="24"/>
              </w:rPr>
            </w:pPr>
            <w:r w:rsidRPr="009A7666">
              <w:rPr>
                <w:rFonts w:cs="Times New Roman"/>
                <w:szCs w:val="24"/>
              </w:rPr>
              <w:t>.1180</w:t>
            </w:r>
          </w:p>
        </w:tc>
        <w:tc>
          <w:tcPr>
            <w:tcW w:w="1232" w:type="dxa"/>
            <w:tcBorders>
              <w:top w:val="nil"/>
              <w:bottom w:val="nil"/>
            </w:tcBorders>
          </w:tcPr>
          <w:p w14:paraId="64EA1575" w14:textId="77777777" w:rsidR="00576F5A" w:rsidRPr="009A7666" w:rsidRDefault="00576F5A" w:rsidP="00576F5A">
            <w:pPr>
              <w:spacing w:line="240" w:lineRule="auto"/>
              <w:jc w:val="center"/>
              <w:rPr>
                <w:rFonts w:cs="Times New Roman"/>
                <w:szCs w:val="24"/>
              </w:rPr>
            </w:pPr>
          </w:p>
        </w:tc>
        <w:tc>
          <w:tcPr>
            <w:tcW w:w="1190" w:type="dxa"/>
            <w:tcBorders>
              <w:top w:val="nil"/>
              <w:bottom w:val="nil"/>
            </w:tcBorders>
          </w:tcPr>
          <w:p w14:paraId="034608AB" w14:textId="77777777" w:rsidR="00576F5A" w:rsidRPr="009A7666" w:rsidRDefault="00576F5A" w:rsidP="00576F5A">
            <w:pPr>
              <w:spacing w:line="240" w:lineRule="auto"/>
              <w:jc w:val="center"/>
              <w:rPr>
                <w:rFonts w:cs="Times New Roman"/>
                <w:szCs w:val="24"/>
              </w:rPr>
            </w:pPr>
          </w:p>
        </w:tc>
        <w:tc>
          <w:tcPr>
            <w:tcW w:w="1154" w:type="dxa"/>
            <w:tcBorders>
              <w:top w:val="nil"/>
              <w:bottom w:val="nil"/>
            </w:tcBorders>
          </w:tcPr>
          <w:p w14:paraId="30C72F76" w14:textId="77777777" w:rsidR="00576F5A" w:rsidRPr="009A7666" w:rsidRDefault="00576F5A" w:rsidP="00576F5A">
            <w:pPr>
              <w:spacing w:line="240" w:lineRule="auto"/>
              <w:jc w:val="center"/>
              <w:rPr>
                <w:rFonts w:cs="Times New Roman"/>
                <w:szCs w:val="24"/>
              </w:rPr>
            </w:pPr>
          </w:p>
        </w:tc>
        <w:tc>
          <w:tcPr>
            <w:tcW w:w="1264" w:type="dxa"/>
            <w:tcBorders>
              <w:top w:val="nil"/>
              <w:bottom w:val="nil"/>
            </w:tcBorders>
          </w:tcPr>
          <w:p w14:paraId="64748335" w14:textId="77777777" w:rsidR="00576F5A" w:rsidRPr="009A7666" w:rsidRDefault="00576F5A" w:rsidP="00576F5A">
            <w:pPr>
              <w:spacing w:line="240" w:lineRule="auto"/>
              <w:jc w:val="center"/>
              <w:rPr>
                <w:rFonts w:cs="Times New Roman"/>
                <w:szCs w:val="24"/>
              </w:rPr>
            </w:pPr>
          </w:p>
        </w:tc>
        <w:tc>
          <w:tcPr>
            <w:tcW w:w="1266" w:type="dxa"/>
            <w:tcBorders>
              <w:top w:val="nil"/>
              <w:bottom w:val="nil"/>
            </w:tcBorders>
          </w:tcPr>
          <w:p w14:paraId="64DA61B7" w14:textId="77777777" w:rsidR="00576F5A" w:rsidRPr="009A7666" w:rsidRDefault="00576F5A" w:rsidP="00576F5A">
            <w:pPr>
              <w:spacing w:line="240" w:lineRule="auto"/>
              <w:jc w:val="center"/>
              <w:rPr>
                <w:rFonts w:cs="Times New Roman"/>
                <w:szCs w:val="24"/>
              </w:rPr>
            </w:pPr>
          </w:p>
        </w:tc>
      </w:tr>
      <w:tr w:rsidR="009A7666" w:rsidRPr="009A7666" w14:paraId="75E316B0" w14:textId="77777777" w:rsidTr="00076C9B">
        <w:trPr>
          <w:trHeight w:val="292"/>
          <w:jc w:val="center"/>
        </w:trPr>
        <w:tc>
          <w:tcPr>
            <w:tcW w:w="1788" w:type="dxa"/>
            <w:tcBorders>
              <w:top w:val="nil"/>
            </w:tcBorders>
          </w:tcPr>
          <w:p w14:paraId="403F3844" w14:textId="6D6C22EA" w:rsidR="00576F5A" w:rsidRPr="009A7666" w:rsidRDefault="005D09CF" w:rsidP="00576F5A">
            <w:pPr>
              <w:spacing w:line="240" w:lineRule="auto"/>
              <w:rPr>
                <w:rFonts w:cs="Times New Roman"/>
                <w:szCs w:val="24"/>
              </w:rPr>
            </w:pPr>
            <w:r w:rsidRPr="009A7666">
              <w:rPr>
                <w:rFonts w:cs="Times New Roman"/>
                <w:szCs w:val="24"/>
              </w:rPr>
              <w:t>R</w:t>
            </w:r>
            <w:r w:rsidR="00576F5A" w:rsidRPr="009A7666">
              <w:rPr>
                <w:rFonts w:cs="Times New Roman"/>
                <w:szCs w:val="24"/>
              </w:rPr>
              <w:t>ho</w:t>
            </w:r>
          </w:p>
        </w:tc>
        <w:tc>
          <w:tcPr>
            <w:tcW w:w="1120" w:type="dxa"/>
            <w:tcBorders>
              <w:top w:val="nil"/>
            </w:tcBorders>
          </w:tcPr>
          <w:p w14:paraId="545E550E" w14:textId="77777777" w:rsidR="00576F5A" w:rsidRPr="009A7666" w:rsidRDefault="00576F5A" w:rsidP="00576F5A">
            <w:pPr>
              <w:spacing w:line="240" w:lineRule="auto"/>
              <w:jc w:val="center"/>
              <w:rPr>
                <w:rFonts w:cs="Times New Roman"/>
                <w:szCs w:val="24"/>
              </w:rPr>
            </w:pPr>
            <w:r w:rsidRPr="009A7666">
              <w:rPr>
                <w:rFonts w:cs="Times New Roman"/>
                <w:szCs w:val="24"/>
              </w:rPr>
              <w:t>.0296</w:t>
            </w:r>
          </w:p>
        </w:tc>
        <w:tc>
          <w:tcPr>
            <w:tcW w:w="6106" w:type="dxa"/>
            <w:gridSpan w:val="5"/>
            <w:tcBorders>
              <w:top w:val="nil"/>
            </w:tcBorders>
          </w:tcPr>
          <w:p w14:paraId="41F1D772" w14:textId="77777777" w:rsidR="00576F5A" w:rsidRPr="009A7666" w:rsidRDefault="00576F5A" w:rsidP="00576F5A">
            <w:pPr>
              <w:spacing w:line="240" w:lineRule="auto"/>
              <w:jc w:val="left"/>
              <w:rPr>
                <w:rFonts w:cs="Times New Roman"/>
                <w:szCs w:val="24"/>
              </w:rPr>
            </w:pPr>
            <w:r w:rsidRPr="009A7666">
              <w:rPr>
                <w:rFonts w:cs="Times New Roman"/>
                <w:szCs w:val="24"/>
              </w:rPr>
              <w:t xml:space="preserve">(Fraction of variance due to </w:t>
            </w:r>
            <m:oMath>
              <m:sSub>
                <m:sSubPr>
                  <m:ctrlPr>
                    <w:rPr>
                      <w:rFonts w:ascii="Cambria Math" w:hAnsi="Cambria Math" w:cs="Times New Roman"/>
                      <w:i/>
                      <w:szCs w:val="24"/>
                    </w:rPr>
                  </m:ctrlPr>
                </m:sSubPr>
                <m:e>
                  <m:r>
                    <w:rPr>
                      <w:rFonts w:ascii="Cambria Math" w:hAnsi="Cambria Math" w:cs="Times New Roman"/>
                      <w:szCs w:val="24"/>
                    </w:rPr>
                    <m:t>μ</m:t>
                  </m:r>
                </m:e>
                <m:sub>
                  <m:r>
                    <w:rPr>
                      <w:rFonts w:ascii="Cambria Math" w:hAnsi="Cambria Math" w:cs="Times New Roman"/>
                      <w:szCs w:val="24"/>
                    </w:rPr>
                    <m:t>i</m:t>
                  </m:r>
                </m:sub>
              </m:sSub>
            </m:oMath>
            <w:r w:rsidRPr="009A7666">
              <w:rPr>
                <w:rFonts w:cs="Times New Roman"/>
                <w:szCs w:val="24"/>
              </w:rPr>
              <w:t>)</w:t>
            </w:r>
          </w:p>
        </w:tc>
      </w:tr>
    </w:tbl>
    <w:p w14:paraId="6EAF2205" w14:textId="77777777" w:rsidR="0078357A" w:rsidRPr="009A7666" w:rsidRDefault="0078357A" w:rsidP="00F3252A">
      <w:pPr>
        <w:spacing w:after="0" w:line="240" w:lineRule="auto"/>
        <w:rPr>
          <w:b/>
          <w:bCs/>
        </w:rPr>
      </w:pPr>
      <w:r w:rsidRPr="009A7666">
        <w:rPr>
          <w:b/>
          <w:bCs/>
        </w:rPr>
        <w:t xml:space="preserve">Key: </w:t>
      </w:r>
      <w:r w:rsidRPr="009A7666">
        <w:t>FS-Firm Size, FG-Firm Growth, SPV-Stock Price Volatilities, MPBV-Market Price Book Value, EPS- Earnings Per Share, PER- Price Earnings Ratio, BVPS-Book Value Per Share, DYR-Dividend Yield Ratio and INS-Institutional</w:t>
      </w:r>
    </w:p>
    <w:p w14:paraId="4FB90BC8" w14:textId="459787C0" w:rsidR="0078357A" w:rsidRPr="009A7666" w:rsidRDefault="0078357A" w:rsidP="004C434F">
      <w:pPr>
        <w:rPr>
          <w:rFonts w:cs="Times New Roman"/>
          <w:b/>
          <w:bCs/>
          <w:noProof/>
          <w:szCs w:val="24"/>
        </w:rPr>
      </w:pPr>
      <w:r w:rsidRPr="009A7666">
        <w:rPr>
          <w:rFonts w:cs="Times New Roman"/>
          <w:b/>
          <w:bCs/>
          <w:noProof/>
          <w:szCs w:val="24"/>
        </w:rPr>
        <w:t>Source: Research Data</w:t>
      </w:r>
      <w:r w:rsidR="00F3252A" w:rsidRPr="009A7666">
        <w:rPr>
          <w:rFonts w:cs="Times New Roman"/>
          <w:b/>
          <w:bCs/>
          <w:noProof/>
          <w:szCs w:val="24"/>
        </w:rPr>
        <w:t>, 2022</w:t>
      </w:r>
    </w:p>
    <w:p w14:paraId="570E0774" w14:textId="1AD1FA72" w:rsidR="00F3252A" w:rsidRPr="009A7666" w:rsidRDefault="00F3252A" w:rsidP="004C434F">
      <w:pPr>
        <w:rPr>
          <w:rFonts w:cs="Times New Roman"/>
          <w:szCs w:val="24"/>
        </w:rPr>
      </w:pPr>
      <w:r w:rsidRPr="009A7666">
        <w:rPr>
          <w:rFonts w:cs="Times New Roman"/>
          <w:szCs w:val="24"/>
        </w:rPr>
        <w:t>Firm size and firm growth were the controlled</w:t>
      </w:r>
      <w:r w:rsidR="002E29EB" w:rsidRPr="009A7666">
        <w:rPr>
          <w:rFonts w:cs="Times New Roman"/>
          <w:szCs w:val="24"/>
        </w:rPr>
        <w:t xml:space="preserve"> variables.  Firm </w:t>
      </w:r>
      <w:r w:rsidRPr="009A7666">
        <w:rPr>
          <w:rFonts w:cs="Times New Roman"/>
          <w:szCs w:val="24"/>
        </w:rPr>
        <w:t>growth affect</w:t>
      </w:r>
      <w:r w:rsidR="002E29EB" w:rsidRPr="009A7666">
        <w:rPr>
          <w:rFonts w:cs="Times New Roman"/>
          <w:szCs w:val="24"/>
        </w:rPr>
        <w:t>ed</w:t>
      </w:r>
      <w:r w:rsidRPr="009A7666">
        <w:rPr>
          <w:rFonts w:cs="Times New Roman"/>
          <w:szCs w:val="24"/>
        </w:rPr>
        <w:t xml:space="preserve"> the volatility of stock prices negatively and significantly. It therefore means that when the firms experience growth on any of its sectors, its stock prices to fluctuate</w:t>
      </w:r>
      <w:r w:rsidR="002E29EB" w:rsidRPr="009A7666">
        <w:rPr>
          <w:rFonts w:cs="Times New Roman"/>
          <w:szCs w:val="24"/>
        </w:rPr>
        <w:t xml:space="preserve"> negatively</w:t>
      </w:r>
      <w:r w:rsidRPr="009A7666">
        <w:rPr>
          <w:rFonts w:cs="Times New Roman"/>
          <w:szCs w:val="24"/>
        </w:rPr>
        <w:t xml:space="preserve">. </w:t>
      </w:r>
      <w:r w:rsidR="002E29EB" w:rsidRPr="009A7666">
        <w:rPr>
          <w:rFonts w:cs="Times New Roman"/>
          <w:szCs w:val="24"/>
        </w:rPr>
        <w:t>Further, firm size was a significant factor on stock price fluctuations. T</w:t>
      </w:r>
      <w:r w:rsidRPr="009A7666">
        <w:rPr>
          <w:rFonts w:eastAsia="Times New Roman" w:cs="Times New Roman"/>
          <w:szCs w:val="24"/>
        </w:rPr>
        <w:t xml:space="preserve">he larger firms are those with greater total assets, sales, and market capitalization. </w:t>
      </w:r>
      <w:r w:rsidRPr="009A7666">
        <w:rPr>
          <w:rFonts w:cs="Times New Roman"/>
          <w:szCs w:val="24"/>
        </w:rPr>
        <w:t>Th</w:t>
      </w:r>
      <w:r w:rsidR="002E29EB" w:rsidRPr="009A7666">
        <w:rPr>
          <w:rFonts w:cs="Times New Roman"/>
          <w:szCs w:val="24"/>
        </w:rPr>
        <w:t>e</w:t>
      </w:r>
      <w:r w:rsidRPr="009A7666">
        <w:rPr>
          <w:rFonts w:cs="Times New Roman"/>
          <w:szCs w:val="24"/>
        </w:rPr>
        <w:t xml:space="preserve"> result show</w:t>
      </w:r>
      <w:r w:rsidR="002E29EB" w:rsidRPr="009A7666">
        <w:rPr>
          <w:rFonts w:cs="Times New Roman"/>
          <w:szCs w:val="24"/>
        </w:rPr>
        <w:t>ed</w:t>
      </w:r>
      <w:r w:rsidRPr="009A7666">
        <w:rPr>
          <w:rFonts w:cs="Times New Roman"/>
          <w:szCs w:val="24"/>
        </w:rPr>
        <w:t xml:space="preserve"> that larger firms experience lower stock price volatility. </w:t>
      </w:r>
    </w:p>
    <w:p w14:paraId="0481A7DB" w14:textId="759CA93A" w:rsidR="002E29EB" w:rsidRPr="009A7666" w:rsidRDefault="002E29EB" w:rsidP="002E29EB">
      <w:pPr>
        <w:rPr>
          <w:bCs/>
        </w:rPr>
      </w:pPr>
      <w:r w:rsidRPr="009A7666">
        <w:t xml:space="preserve">Investors need to pay more attention to companies with strong growth prospects and so as to boost their returns during good times. </w:t>
      </w:r>
      <w:r w:rsidR="001E1A39" w:rsidRPr="009A7666">
        <w:t xml:space="preserve">Earnings per share provides investors with a stock overview of the share for profit that can be obtained by owning a stock in each period. When a firm's BVPS rises, the stock is perceived to be more valuable, and the stock price rises with it. </w:t>
      </w:r>
      <w:r w:rsidRPr="009A7666">
        <w:t xml:space="preserve">In theory, BVPS is the amount shareholders would receive if the company were liquidated, all </w:t>
      </w:r>
      <w:r w:rsidRPr="009A7666">
        <w:lastRenderedPageBreak/>
        <w:t xml:space="preserve">tangible assets sold, and all liabilities paid. Stocked owned by institution can act both as direct and indirect (as moderator) factor to stock price volatilities. </w:t>
      </w:r>
      <w:r w:rsidRPr="009A7666">
        <w:rPr>
          <w:bCs/>
        </w:rPr>
        <w:t>The amount of an institutional available stock owned by mutual or pension funds, insurance companies, investment firms, private foundations, endowments, or other large entities that manage funds on behalf of others is referred to as institutional ownership</w:t>
      </w:r>
    </w:p>
    <w:p w14:paraId="16150AE3" w14:textId="4162D0D8" w:rsidR="001E1A39" w:rsidRPr="009A7666" w:rsidRDefault="001E1A39" w:rsidP="00853DB0">
      <w:pPr>
        <w:pStyle w:val="ListParagraph"/>
        <w:numPr>
          <w:ilvl w:val="0"/>
          <w:numId w:val="1"/>
        </w:numPr>
        <w:rPr>
          <w:b/>
          <w:noProof/>
        </w:rPr>
      </w:pPr>
      <w:r w:rsidRPr="009A7666">
        <w:rPr>
          <w:b/>
        </w:rPr>
        <w:t xml:space="preserve">Conclusion </w:t>
      </w:r>
    </w:p>
    <w:bookmarkEnd w:id="5"/>
    <w:p w14:paraId="385D079B" w14:textId="77777777" w:rsidR="005D09CF" w:rsidRPr="009A7666" w:rsidRDefault="00853DB0" w:rsidP="006B74D4">
      <w:r w:rsidRPr="009A7666">
        <w:t xml:space="preserve">The findings of this article provide a great input to management of these firms listed in NSE. Applying fixed effects show how these factors has been and how will affect the stock prices in future. </w:t>
      </w:r>
      <w:r w:rsidR="006B74D4" w:rsidRPr="009A7666">
        <w:t>Firms listed in NSE should create a favorable impression of the company's products in the minds of customers by enhancing earnings per share. This is because a company with high earnings per share may see its stock price rise. This higher stock price results an increased demand, increased sales, and, ultimately, higher earnings. Low earnings per share may cause stock prices to fall, resulting in lower consumer confidence, lower sales, and, ultimately, lower earnings per share. Listed firms need to reflect the company's previous earnings and track record by relooking at company’s book value. The distribution of dividends and investment decisions rely on the book value. A high book value indicates that a company has significant reserves and is a potential bonus candidate. A low book value indicates either a generous bonus and dividend distribution policy or a poor track record of profitability</w:t>
      </w:r>
      <w:r w:rsidRPr="009A7666">
        <w:t>. Forecasting can assist them in dealing with these issues, but it will be more effective if they understand the general principles of forecasting, what it can and cannot do for them right now, and which techniques are best suited to their current needs.</w:t>
      </w:r>
    </w:p>
    <w:p w14:paraId="03E08CFE" w14:textId="4C813EE7" w:rsidR="000C1151" w:rsidRPr="00076C9B" w:rsidRDefault="005D09CF" w:rsidP="00076C9B">
      <w:pPr>
        <w:pStyle w:val="ListParagraph"/>
        <w:numPr>
          <w:ilvl w:val="0"/>
          <w:numId w:val="1"/>
        </w:numPr>
        <w:rPr>
          <w:b/>
          <w:bCs/>
        </w:rPr>
      </w:pPr>
      <w:r w:rsidRPr="00076C9B">
        <w:rPr>
          <w:b/>
          <w:bCs/>
        </w:rPr>
        <w:t>References</w:t>
      </w:r>
    </w:p>
    <w:p w14:paraId="588D9F26" w14:textId="77777777" w:rsidR="000C1151" w:rsidRPr="005810C8" w:rsidRDefault="000C1151" w:rsidP="000C1151">
      <w:pPr>
        <w:spacing w:line="240" w:lineRule="auto"/>
        <w:ind w:left="720" w:hanging="720"/>
        <w:jc w:val="left"/>
        <w:rPr>
          <w:rFonts w:eastAsia="Times New Roman" w:cs="Times New Roman"/>
          <w:szCs w:val="24"/>
          <w:lang w:val="en-GB" w:eastAsia="en-GB"/>
        </w:rPr>
      </w:pPr>
      <w:r w:rsidRPr="005810C8">
        <w:rPr>
          <w:rFonts w:eastAsia="Times New Roman" w:cs="Times New Roman"/>
          <w:szCs w:val="24"/>
          <w:lang w:val="en-GB" w:eastAsia="en-GB"/>
        </w:rPr>
        <w:t xml:space="preserve">Adjei, B. (2015). Return and volatility </w:t>
      </w:r>
      <w:proofErr w:type="spellStart"/>
      <w:r w:rsidRPr="005810C8">
        <w:rPr>
          <w:rFonts w:eastAsia="Times New Roman" w:cs="Times New Roman"/>
          <w:szCs w:val="24"/>
          <w:lang w:val="en-GB" w:eastAsia="en-GB"/>
        </w:rPr>
        <w:t>spillovers</w:t>
      </w:r>
      <w:proofErr w:type="spellEnd"/>
      <w:r w:rsidRPr="005810C8">
        <w:rPr>
          <w:rFonts w:eastAsia="Times New Roman" w:cs="Times New Roman"/>
          <w:szCs w:val="24"/>
          <w:lang w:val="en-GB" w:eastAsia="en-GB"/>
        </w:rPr>
        <w:t xml:space="preserve"> among stock and Foreign Exchange Markets: Empirical Evidence from selected African Markets.</w:t>
      </w:r>
    </w:p>
    <w:p w14:paraId="4C1F5B75" w14:textId="77777777" w:rsidR="000C1151" w:rsidRPr="00264965" w:rsidRDefault="000C1151" w:rsidP="000C1151">
      <w:pPr>
        <w:spacing w:line="240" w:lineRule="auto"/>
        <w:ind w:left="851" w:hanging="851"/>
        <w:rPr>
          <w:rFonts w:cs="Times New Roman"/>
          <w:szCs w:val="24"/>
        </w:rPr>
      </w:pPr>
      <w:r w:rsidRPr="00264965">
        <w:rPr>
          <w:rFonts w:cs="Times New Roman"/>
          <w:szCs w:val="24"/>
        </w:rPr>
        <w:t>Ahmad, A.C., &amp; Jusoh, M.A. (2014). Institutional ownership and market-based performance indicators: Utilizing generalized least square estimation technique. </w:t>
      </w:r>
      <w:r w:rsidRPr="00264965">
        <w:rPr>
          <w:rFonts w:cs="Times New Roman"/>
          <w:i/>
          <w:iCs/>
          <w:szCs w:val="24"/>
        </w:rPr>
        <w:t>Procedia-Social and Behavioral Sciences</w:t>
      </w:r>
      <w:r w:rsidRPr="00264965">
        <w:rPr>
          <w:rFonts w:cs="Times New Roman"/>
          <w:szCs w:val="24"/>
        </w:rPr>
        <w:t>, </w:t>
      </w:r>
      <w:r w:rsidRPr="00264965">
        <w:rPr>
          <w:rFonts w:cs="Times New Roman"/>
          <w:i/>
          <w:iCs/>
          <w:szCs w:val="24"/>
        </w:rPr>
        <w:t>164</w:t>
      </w:r>
      <w:r w:rsidRPr="00264965">
        <w:rPr>
          <w:rFonts w:cs="Times New Roman"/>
          <w:szCs w:val="24"/>
        </w:rPr>
        <w:t>, 477-485.</w:t>
      </w:r>
    </w:p>
    <w:p w14:paraId="6A046B7F" w14:textId="77777777" w:rsidR="000C1151" w:rsidRPr="00264965" w:rsidRDefault="000C1151" w:rsidP="000C1151">
      <w:pPr>
        <w:spacing w:line="240" w:lineRule="auto"/>
        <w:ind w:left="851" w:hanging="851"/>
        <w:rPr>
          <w:rFonts w:cs="Times New Roman"/>
          <w:szCs w:val="24"/>
        </w:rPr>
      </w:pPr>
      <w:r w:rsidRPr="00264965">
        <w:rPr>
          <w:rFonts w:cs="Times New Roman"/>
          <w:szCs w:val="24"/>
        </w:rPr>
        <w:t xml:space="preserve">Ahmed, I. (2018). Impact of Dividend per Share and Earnings per Share on Stock Prices: A Case Study from Pakistan (Textile Sector). </w:t>
      </w:r>
      <w:r w:rsidRPr="00264965">
        <w:rPr>
          <w:rFonts w:cs="Times New Roman"/>
          <w:i/>
          <w:szCs w:val="24"/>
        </w:rPr>
        <w:t>IJSSHE-International Journal of Social Sciences</w:t>
      </w:r>
      <w:r w:rsidRPr="00264965">
        <w:rPr>
          <w:rFonts w:cs="Times New Roman"/>
          <w:szCs w:val="24"/>
        </w:rPr>
        <w:t>, Humanities and Education Volume, 2(2).</w:t>
      </w:r>
    </w:p>
    <w:p w14:paraId="469CD8BA" w14:textId="77777777" w:rsidR="000C1151" w:rsidRPr="00264965" w:rsidRDefault="000C1151" w:rsidP="000C1151">
      <w:pPr>
        <w:spacing w:line="240" w:lineRule="auto"/>
        <w:ind w:left="851" w:hanging="851"/>
        <w:rPr>
          <w:rFonts w:cs="Times New Roman"/>
          <w:szCs w:val="24"/>
        </w:rPr>
      </w:pPr>
      <w:r w:rsidRPr="00264965">
        <w:rPr>
          <w:rFonts w:cs="Times New Roman"/>
          <w:szCs w:val="24"/>
        </w:rPr>
        <w:t>Al-Manaseer, S.R. (2020). Impact of Market Ratios on the Stock Prices: Evidence from Jordan. </w:t>
      </w:r>
      <w:r w:rsidRPr="00264965">
        <w:rPr>
          <w:rFonts w:cs="Times New Roman"/>
          <w:i/>
          <w:iCs/>
          <w:szCs w:val="24"/>
        </w:rPr>
        <w:t>International Business Research</w:t>
      </w:r>
      <w:r w:rsidRPr="00264965">
        <w:rPr>
          <w:rFonts w:cs="Times New Roman"/>
          <w:szCs w:val="24"/>
        </w:rPr>
        <w:t>, </w:t>
      </w:r>
      <w:r w:rsidRPr="00264965">
        <w:rPr>
          <w:rFonts w:cs="Times New Roman"/>
          <w:i/>
          <w:iCs/>
          <w:szCs w:val="24"/>
        </w:rPr>
        <w:t>13</w:t>
      </w:r>
      <w:r w:rsidRPr="00264965">
        <w:rPr>
          <w:rFonts w:cs="Times New Roman"/>
          <w:szCs w:val="24"/>
        </w:rPr>
        <w:t>(4), 1-92.</w:t>
      </w:r>
    </w:p>
    <w:p w14:paraId="0A333F80" w14:textId="77777777" w:rsidR="000C1151" w:rsidRPr="00264965" w:rsidRDefault="000C1151" w:rsidP="000C1151">
      <w:pPr>
        <w:spacing w:line="240" w:lineRule="auto"/>
        <w:ind w:left="851" w:hanging="851"/>
        <w:rPr>
          <w:rFonts w:cs="Times New Roman"/>
          <w:szCs w:val="24"/>
        </w:rPr>
      </w:pPr>
      <w:r w:rsidRPr="00264965">
        <w:rPr>
          <w:rFonts w:cs="Times New Roman"/>
          <w:szCs w:val="24"/>
        </w:rPr>
        <w:lastRenderedPageBreak/>
        <w:t xml:space="preserve">Amos, B., Ibrahim, G., </w:t>
      </w:r>
      <w:proofErr w:type="spellStart"/>
      <w:r w:rsidRPr="00264965">
        <w:rPr>
          <w:rFonts w:cs="Times New Roman"/>
          <w:szCs w:val="24"/>
        </w:rPr>
        <w:t>Nasidi</w:t>
      </w:r>
      <w:proofErr w:type="spellEnd"/>
      <w:r w:rsidRPr="00264965">
        <w:rPr>
          <w:rFonts w:cs="Times New Roman"/>
          <w:szCs w:val="24"/>
        </w:rPr>
        <w:t>, M., &amp; Ibrahim, K.Y. (2016). The Impact of Institutional Ownership Structure on Earnings Quality of Listed Food/Beverages and Tobacco Firms in Nigeria. </w:t>
      </w:r>
      <w:r w:rsidRPr="00264965">
        <w:rPr>
          <w:rFonts w:cs="Times New Roman"/>
          <w:i/>
          <w:iCs/>
          <w:szCs w:val="24"/>
        </w:rPr>
        <w:t>Researchers World</w:t>
      </w:r>
      <w:r w:rsidRPr="00264965">
        <w:rPr>
          <w:rFonts w:cs="Times New Roman"/>
          <w:szCs w:val="24"/>
        </w:rPr>
        <w:t>, </w:t>
      </w:r>
      <w:r w:rsidRPr="00264965">
        <w:rPr>
          <w:rFonts w:cs="Times New Roman"/>
          <w:i/>
          <w:iCs/>
          <w:szCs w:val="24"/>
        </w:rPr>
        <w:t>7</w:t>
      </w:r>
      <w:r w:rsidRPr="00264965">
        <w:rPr>
          <w:rFonts w:cs="Times New Roman"/>
          <w:szCs w:val="24"/>
        </w:rPr>
        <w:t>(1), 20.</w:t>
      </w:r>
    </w:p>
    <w:p w14:paraId="6B17C280" w14:textId="77777777" w:rsidR="000C1151" w:rsidRPr="00264965" w:rsidRDefault="000C1151" w:rsidP="000C1151">
      <w:pPr>
        <w:spacing w:line="240" w:lineRule="auto"/>
        <w:ind w:left="851" w:hanging="851"/>
        <w:rPr>
          <w:rFonts w:cs="Times New Roman"/>
          <w:szCs w:val="24"/>
        </w:rPr>
      </w:pPr>
      <w:r w:rsidRPr="00264965">
        <w:rPr>
          <w:rFonts w:cs="Times New Roman"/>
          <w:szCs w:val="24"/>
        </w:rPr>
        <w:t xml:space="preserve">Arkan, T. (2016). The importance of financial ratios in predicting stock price trends: A case study in emerging markets. </w:t>
      </w:r>
      <w:proofErr w:type="spellStart"/>
      <w:r w:rsidRPr="00264965">
        <w:rPr>
          <w:rFonts w:cs="Times New Roman"/>
          <w:i/>
          <w:szCs w:val="24"/>
        </w:rPr>
        <w:t>Finanse</w:t>
      </w:r>
      <w:proofErr w:type="spellEnd"/>
      <w:r w:rsidRPr="00264965">
        <w:rPr>
          <w:rFonts w:cs="Times New Roman"/>
          <w:i/>
          <w:szCs w:val="24"/>
        </w:rPr>
        <w:t xml:space="preserve">, </w:t>
      </w:r>
      <w:proofErr w:type="spellStart"/>
      <w:r w:rsidRPr="00264965">
        <w:rPr>
          <w:rFonts w:cs="Times New Roman"/>
          <w:i/>
          <w:szCs w:val="24"/>
        </w:rPr>
        <w:t>Rynki</w:t>
      </w:r>
      <w:proofErr w:type="spellEnd"/>
      <w:r w:rsidRPr="00264965">
        <w:rPr>
          <w:rFonts w:cs="Times New Roman"/>
          <w:i/>
          <w:szCs w:val="24"/>
        </w:rPr>
        <w:t xml:space="preserve"> </w:t>
      </w:r>
      <w:proofErr w:type="spellStart"/>
      <w:r w:rsidRPr="00264965">
        <w:rPr>
          <w:rFonts w:cs="Times New Roman"/>
          <w:i/>
          <w:szCs w:val="24"/>
        </w:rPr>
        <w:t>Finansowe</w:t>
      </w:r>
      <w:proofErr w:type="spellEnd"/>
      <w:r w:rsidRPr="00264965">
        <w:rPr>
          <w:rFonts w:cs="Times New Roman"/>
          <w:i/>
          <w:szCs w:val="24"/>
        </w:rPr>
        <w:t xml:space="preserve">, </w:t>
      </w:r>
      <w:proofErr w:type="spellStart"/>
      <w:r w:rsidRPr="00264965">
        <w:rPr>
          <w:rFonts w:cs="Times New Roman"/>
          <w:i/>
          <w:szCs w:val="24"/>
        </w:rPr>
        <w:t>Ubezpieczenia</w:t>
      </w:r>
      <w:proofErr w:type="spellEnd"/>
      <w:r w:rsidRPr="00264965">
        <w:rPr>
          <w:rFonts w:cs="Times New Roman"/>
          <w:szCs w:val="24"/>
        </w:rPr>
        <w:t>, (79), 13-26.</w:t>
      </w:r>
    </w:p>
    <w:p w14:paraId="098DA0C3" w14:textId="77777777" w:rsidR="000C1151" w:rsidRPr="00264965" w:rsidRDefault="000C1151" w:rsidP="000C1151">
      <w:pPr>
        <w:spacing w:line="240" w:lineRule="auto"/>
        <w:ind w:left="851" w:hanging="851"/>
        <w:rPr>
          <w:rFonts w:cs="Times New Roman"/>
          <w:szCs w:val="24"/>
        </w:rPr>
      </w:pPr>
      <w:r w:rsidRPr="00264965">
        <w:rPr>
          <w:rFonts w:cs="Times New Roman"/>
          <w:szCs w:val="24"/>
        </w:rPr>
        <w:t xml:space="preserve">Aroni, J.M. (2011). Factors influencing stock prices for firms listed in the Nairobi Securities Exchange. </w:t>
      </w:r>
      <w:r w:rsidRPr="00264965">
        <w:rPr>
          <w:rFonts w:cs="Times New Roman"/>
          <w:i/>
          <w:szCs w:val="24"/>
        </w:rPr>
        <w:t>International Journal of Business and Social Science</w:t>
      </w:r>
      <w:r w:rsidRPr="00264965">
        <w:rPr>
          <w:rFonts w:cs="Times New Roman"/>
          <w:szCs w:val="24"/>
        </w:rPr>
        <w:t>, 2(20).</w:t>
      </w:r>
    </w:p>
    <w:p w14:paraId="195D20D9" w14:textId="77777777" w:rsidR="000C1151" w:rsidRPr="00264965" w:rsidRDefault="000C1151" w:rsidP="000C1151">
      <w:pPr>
        <w:spacing w:line="240" w:lineRule="auto"/>
        <w:ind w:left="851" w:hanging="851"/>
        <w:rPr>
          <w:rFonts w:cs="Times New Roman"/>
          <w:szCs w:val="24"/>
        </w:rPr>
      </w:pPr>
      <w:r w:rsidRPr="00264965">
        <w:rPr>
          <w:rFonts w:cs="Times New Roman"/>
          <w:szCs w:val="24"/>
        </w:rPr>
        <w:t>Barinov, A. (2017). Institutional ownership and aggregate volatility risk. </w:t>
      </w:r>
      <w:r w:rsidRPr="00264965">
        <w:rPr>
          <w:rFonts w:cs="Times New Roman"/>
          <w:i/>
          <w:iCs/>
          <w:szCs w:val="24"/>
        </w:rPr>
        <w:t>Journal of Empirical Finance</w:t>
      </w:r>
      <w:r w:rsidRPr="00264965">
        <w:rPr>
          <w:rFonts w:cs="Times New Roman"/>
          <w:szCs w:val="24"/>
        </w:rPr>
        <w:t>, </w:t>
      </w:r>
      <w:r w:rsidRPr="00264965">
        <w:rPr>
          <w:rFonts w:cs="Times New Roman"/>
          <w:i/>
          <w:iCs/>
          <w:szCs w:val="24"/>
        </w:rPr>
        <w:t>40</w:t>
      </w:r>
      <w:r w:rsidRPr="00264965">
        <w:rPr>
          <w:rFonts w:cs="Times New Roman"/>
          <w:szCs w:val="24"/>
        </w:rPr>
        <w:t>, 20-38.</w:t>
      </w:r>
    </w:p>
    <w:p w14:paraId="24C1EDAA" w14:textId="77777777" w:rsidR="000C1151" w:rsidRPr="00264965" w:rsidRDefault="000C1151" w:rsidP="000C1151">
      <w:pPr>
        <w:spacing w:line="240" w:lineRule="auto"/>
        <w:ind w:left="851" w:hanging="851"/>
        <w:rPr>
          <w:rFonts w:cs="Times New Roman"/>
          <w:szCs w:val="24"/>
        </w:rPr>
      </w:pPr>
      <w:r w:rsidRPr="00264965">
        <w:rPr>
          <w:rFonts w:cs="Times New Roman"/>
          <w:szCs w:val="24"/>
        </w:rPr>
        <w:t xml:space="preserve">Butler, F.C., Evans, R., &amp; Lamb, N.H. (2019). Non-Required CEO Disclosures and Stock Price Volatility: An Ethical Dilemma. </w:t>
      </w:r>
      <w:r w:rsidRPr="00264965">
        <w:rPr>
          <w:rFonts w:cs="Times New Roman"/>
          <w:i/>
          <w:szCs w:val="24"/>
        </w:rPr>
        <w:t>Business and Professional Ethics Journal</w:t>
      </w:r>
      <w:r w:rsidRPr="00264965">
        <w:rPr>
          <w:rFonts w:cs="Times New Roman"/>
          <w:szCs w:val="24"/>
        </w:rPr>
        <w:t>, 38(3), 255-273.</w:t>
      </w:r>
    </w:p>
    <w:p w14:paraId="3EC75B83" w14:textId="77777777" w:rsidR="000C1151" w:rsidRPr="00264965" w:rsidRDefault="000C1151" w:rsidP="000C1151">
      <w:pPr>
        <w:spacing w:line="240" w:lineRule="auto"/>
        <w:ind w:left="851" w:hanging="851"/>
        <w:rPr>
          <w:rFonts w:cs="Times New Roman"/>
          <w:szCs w:val="24"/>
        </w:rPr>
      </w:pPr>
      <w:r w:rsidRPr="00264965">
        <w:rPr>
          <w:rFonts w:cs="Times New Roman"/>
          <w:szCs w:val="24"/>
        </w:rPr>
        <w:t xml:space="preserve">Cheng, C.S., Lee, B.S., &amp; Yang, S. (2013). The value relevance of earnings levels in the return-earnings relation. </w:t>
      </w:r>
      <w:r w:rsidRPr="00264965">
        <w:rPr>
          <w:rFonts w:cs="Times New Roman"/>
          <w:i/>
          <w:szCs w:val="24"/>
        </w:rPr>
        <w:t>International Journal of Accounting and Information</w:t>
      </w:r>
      <w:r w:rsidRPr="00264965">
        <w:rPr>
          <w:rFonts w:cs="Times New Roman"/>
          <w:szCs w:val="24"/>
        </w:rPr>
        <w:t xml:space="preserve"> </w:t>
      </w:r>
      <w:r w:rsidRPr="00264965">
        <w:rPr>
          <w:rFonts w:cs="Times New Roman"/>
          <w:i/>
          <w:szCs w:val="24"/>
        </w:rPr>
        <w:t>Management</w:t>
      </w:r>
      <w:r w:rsidRPr="00264965">
        <w:rPr>
          <w:rFonts w:cs="Times New Roman"/>
          <w:szCs w:val="24"/>
        </w:rPr>
        <w:t>,</w:t>
      </w:r>
      <w:r w:rsidRPr="00264965">
        <w:rPr>
          <w:rFonts w:cs="Times New Roman"/>
          <w:i/>
          <w:szCs w:val="24"/>
        </w:rPr>
        <w:t xml:space="preserve"> 21</w:t>
      </w:r>
      <w:r w:rsidRPr="00264965">
        <w:rPr>
          <w:rFonts w:cs="Times New Roman"/>
          <w:szCs w:val="24"/>
        </w:rPr>
        <w:t>(4), 260-284.</w:t>
      </w:r>
    </w:p>
    <w:p w14:paraId="010E98BF" w14:textId="77777777" w:rsidR="000C1151" w:rsidRPr="00264965" w:rsidRDefault="000C1151" w:rsidP="000C1151">
      <w:pPr>
        <w:spacing w:line="240" w:lineRule="auto"/>
        <w:ind w:left="851" w:hanging="851"/>
        <w:rPr>
          <w:rFonts w:cs="Times New Roman"/>
          <w:szCs w:val="24"/>
        </w:rPr>
      </w:pPr>
      <w:proofErr w:type="spellStart"/>
      <w:r w:rsidRPr="00264965">
        <w:rPr>
          <w:rFonts w:cs="Times New Roman"/>
          <w:szCs w:val="24"/>
        </w:rPr>
        <w:t>ElGhouti</w:t>
      </w:r>
      <w:proofErr w:type="spellEnd"/>
      <w:r w:rsidRPr="00264965">
        <w:rPr>
          <w:rFonts w:cs="Times New Roman"/>
          <w:szCs w:val="24"/>
        </w:rPr>
        <w:t>, A. (2015). Effect of ownership structure on firm stock returns and financial performance: evidence from the Egyptian stock market.</w:t>
      </w:r>
    </w:p>
    <w:p w14:paraId="280676EF" w14:textId="77777777" w:rsidR="000C1151" w:rsidRPr="00264965" w:rsidRDefault="000C1151" w:rsidP="000C1151">
      <w:pPr>
        <w:spacing w:line="240" w:lineRule="auto"/>
        <w:ind w:left="851" w:hanging="851"/>
        <w:rPr>
          <w:rFonts w:cs="Times New Roman"/>
          <w:szCs w:val="24"/>
        </w:rPr>
      </w:pPr>
      <w:proofErr w:type="spellStart"/>
      <w:r w:rsidRPr="00264965">
        <w:rPr>
          <w:rFonts w:cs="Times New Roman"/>
          <w:szCs w:val="24"/>
        </w:rPr>
        <w:t>Hussainey</w:t>
      </w:r>
      <w:proofErr w:type="spellEnd"/>
      <w:r w:rsidRPr="00264965">
        <w:rPr>
          <w:rFonts w:cs="Times New Roman"/>
          <w:szCs w:val="24"/>
        </w:rPr>
        <w:t xml:space="preserve">, K., </w:t>
      </w:r>
      <w:proofErr w:type="spellStart"/>
      <w:r w:rsidRPr="00264965">
        <w:rPr>
          <w:rFonts w:cs="Times New Roman"/>
          <w:szCs w:val="24"/>
        </w:rPr>
        <w:t>Mgbame</w:t>
      </w:r>
      <w:proofErr w:type="spellEnd"/>
      <w:r w:rsidRPr="00264965">
        <w:rPr>
          <w:rFonts w:cs="Times New Roman"/>
          <w:szCs w:val="24"/>
        </w:rPr>
        <w:t xml:space="preserve">, C.O. &amp; </w:t>
      </w:r>
      <w:proofErr w:type="spellStart"/>
      <w:r w:rsidRPr="00264965">
        <w:rPr>
          <w:rFonts w:cs="Times New Roman"/>
          <w:szCs w:val="24"/>
        </w:rPr>
        <w:t>Chijoke-Mgbame</w:t>
      </w:r>
      <w:proofErr w:type="spellEnd"/>
      <w:r w:rsidRPr="00264965">
        <w:rPr>
          <w:rFonts w:cs="Times New Roman"/>
          <w:szCs w:val="24"/>
        </w:rPr>
        <w:t xml:space="preserve">, A.M. (2011). Dividend policy and share price volatility: UK evidence, </w:t>
      </w:r>
      <w:r w:rsidRPr="00264965">
        <w:rPr>
          <w:rFonts w:cs="Times New Roman"/>
          <w:i/>
          <w:szCs w:val="24"/>
        </w:rPr>
        <w:t>Journal of Risk Finance</w:t>
      </w:r>
      <w:r w:rsidRPr="00264965">
        <w:rPr>
          <w:rFonts w:cs="Times New Roman"/>
          <w:szCs w:val="24"/>
        </w:rPr>
        <w:t>, 12 (1), pp. 57-68.</w:t>
      </w:r>
    </w:p>
    <w:p w14:paraId="1B0D745D" w14:textId="77777777" w:rsidR="000C1151" w:rsidRPr="00264965" w:rsidRDefault="000C1151" w:rsidP="000C1151">
      <w:pPr>
        <w:spacing w:line="240" w:lineRule="auto"/>
        <w:ind w:left="851" w:hanging="851"/>
        <w:rPr>
          <w:rFonts w:cs="Times New Roman"/>
          <w:szCs w:val="24"/>
        </w:rPr>
      </w:pPr>
      <w:proofErr w:type="spellStart"/>
      <w:r w:rsidRPr="00264965">
        <w:rPr>
          <w:rFonts w:cs="Times New Roman"/>
          <w:szCs w:val="24"/>
        </w:rPr>
        <w:t>Jafarinejad</w:t>
      </w:r>
      <w:proofErr w:type="spellEnd"/>
      <w:r w:rsidRPr="00264965">
        <w:rPr>
          <w:rFonts w:cs="Times New Roman"/>
          <w:szCs w:val="24"/>
        </w:rPr>
        <w:t>, M., Jory, S.R., &amp; Ngo, T.N. (2015). The effects of institutional ownership on the value and risk of diversified firms. </w:t>
      </w:r>
      <w:r w:rsidRPr="00264965">
        <w:rPr>
          <w:rFonts w:cs="Times New Roman"/>
          <w:i/>
          <w:iCs/>
          <w:szCs w:val="24"/>
        </w:rPr>
        <w:t>International Review of Financial Analysis</w:t>
      </w:r>
      <w:r w:rsidRPr="00264965">
        <w:rPr>
          <w:rFonts w:cs="Times New Roman"/>
          <w:szCs w:val="24"/>
        </w:rPr>
        <w:t>, </w:t>
      </w:r>
      <w:r w:rsidRPr="00264965">
        <w:rPr>
          <w:rFonts w:cs="Times New Roman"/>
          <w:i/>
          <w:iCs/>
          <w:szCs w:val="24"/>
        </w:rPr>
        <w:t>40</w:t>
      </w:r>
      <w:r w:rsidRPr="00264965">
        <w:rPr>
          <w:rFonts w:cs="Times New Roman"/>
          <w:szCs w:val="24"/>
        </w:rPr>
        <w:t>, 207-219.</w:t>
      </w:r>
    </w:p>
    <w:p w14:paraId="6E35C1FA" w14:textId="77777777" w:rsidR="000C1151" w:rsidRPr="00264965" w:rsidRDefault="000C1151" w:rsidP="000C1151">
      <w:pPr>
        <w:spacing w:line="240" w:lineRule="auto"/>
        <w:ind w:left="851" w:hanging="851"/>
        <w:rPr>
          <w:rFonts w:cs="Times New Roman"/>
          <w:szCs w:val="24"/>
        </w:rPr>
      </w:pPr>
      <w:r w:rsidRPr="00264965">
        <w:rPr>
          <w:rFonts w:cs="Times New Roman"/>
          <w:szCs w:val="24"/>
        </w:rPr>
        <w:t xml:space="preserve">Kirui, E. </w:t>
      </w:r>
      <w:proofErr w:type="spellStart"/>
      <w:r w:rsidRPr="00264965">
        <w:rPr>
          <w:rFonts w:cs="Times New Roman"/>
          <w:szCs w:val="24"/>
        </w:rPr>
        <w:t>Wawire</w:t>
      </w:r>
      <w:proofErr w:type="spellEnd"/>
      <w:r w:rsidRPr="00264965">
        <w:rPr>
          <w:rFonts w:cs="Times New Roman"/>
          <w:szCs w:val="24"/>
        </w:rPr>
        <w:t xml:space="preserve">, N.H.W, &amp; </w:t>
      </w:r>
      <w:proofErr w:type="spellStart"/>
      <w:r w:rsidRPr="00264965">
        <w:rPr>
          <w:rFonts w:cs="Times New Roman"/>
          <w:szCs w:val="24"/>
        </w:rPr>
        <w:t>Onono</w:t>
      </w:r>
      <w:proofErr w:type="spellEnd"/>
      <w:r w:rsidRPr="00264965">
        <w:rPr>
          <w:rFonts w:cs="Times New Roman"/>
          <w:szCs w:val="24"/>
        </w:rPr>
        <w:t xml:space="preserve">, P.O. (2014). Macroeconomic variables, volatility and stock market returns: A case of Nairobi Securities Exchange, Kenya. International </w:t>
      </w:r>
      <w:r w:rsidRPr="00264965">
        <w:rPr>
          <w:rFonts w:cs="Times New Roman"/>
          <w:i/>
          <w:szCs w:val="24"/>
        </w:rPr>
        <w:t>Journal of Economics and Finance</w:t>
      </w:r>
      <w:bookmarkStart w:id="6" w:name="zu0gcz" w:colFirst="0" w:colLast="0"/>
      <w:bookmarkEnd w:id="6"/>
      <w:r w:rsidRPr="00264965">
        <w:rPr>
          <w:rFonts w:cs="Times New Roman"/>
          <w:szCs w:val="24"/>
        </w:rPr>
        <w:t>, 6(8), 214.</w:t>
      </w:r>
    </w:p>
    <w:p w14:paraId="1F5F8022" w14:textId="77777777" w:rsidR="000C1151" w:rsidRPr="00264965" w:rsidRDefault="000C1151" w:rsidP="000C1151">
      <w:pPr>
        <w:spacing w:line="240" w:lineRule="auto"/>
        <w:ind w:left="851" w:hanging="851"/>
        <w:rPr>
          <w:rFonts w:cs="Times New Roman"/>
          <w:szCs w:val="24"/>
        </w:rPr>
      </w:pPr>
      <w:proofErr w:type="spellStart"/>
      <w:r w:rsidRPr="00264965">
        <w:rPr>
          <w:rFonts w:cs="Times New Roman"/>
          <w:szCs w:val="24"/>
        </w:rPr>
        <w:t>Kisaka</w:t>
      </w:r>
      <w:proofErr w:type="spellEnd"/>
      <w:r w:rsidRPr="00264965">
        <w:rPr>
          <w:rFonts w:cs="Times New Roman"/>
          <w:szCs w:val="24"/>
        </w:rPr>
        <w:t xml:space="preserve">, S.E. &amp; </w:t>
      </w:r>
      <w:proofErr w:type="spellStart"/>
      <w:r w:rsidRPr="00264965">
        <w:rPr>
          <w:rFonts w:cs="Times New Roman"/>
          <w:szCs w:val="24"/>
        </w:rPr>
        <w:t>Mwasaru</w:t>
      </w:r>
      <w:proofErr w:type="spellEnd"/>
      <w:r w:rsidRPr="00264965">
        <w:rPr>
          <w:rFonts w:cs="Times New Roman"/>
          <w:szCs w:val="24"/>
        </w:rPr>
        <w:t xml:space="preserve">, A. (2012). The causal relationship between exchange rates and stock prices in Kenya. </w:t>
      </w:r>
      <w:r w:rsidRPr="00264965">
        <w:rPr>
          <w:rFonts w:cs="Times New Roman"/>
          <w:i/>
          <w:szCs w:val="24"/>
        </w:rPr>
        <w:t>Research Journal of Finance and Accounting</w:t>
      </w:r>
      <w:r w:rsidRPr="00264965">
        <w:rPr>
          <w:rFonts w:cs="Times New Roman"/>
          <w:szCs w:val="24"/>
        </w:rPr>
        <w:t>, 3(7), 121-130.</w:t>
      </w:r>
    </w:p>
    <w:p w14:paraId="2DC34E3A" w14:textId="77777777" w:rsidR="000C1151" w:rsidRPr="00264965" w:rsidRDefault="000C1151" w:rsidP="000C1151">
      <w:pPr>
        <w:spacing w:line="240" w:lineRule="auto"/>
        <w:ind w:left="851" w:hanging="851"/>
        <w:rPr>
          <w:rFonts w:cs="Times New Roman"/>
          <w:szCs w:val="24"/>
        </w:rPr>
      </w:pPr>
      <w:r w:rsidRPr="00264965">
        <w:rPr>
          <w:rFonts w:cs="Times New Roman"/>
          <w:szCs w:val="24"/>
        </w:rPr>
        <w:t xml:space="preserve">Melisa, L.A. (2013). </w:t>
      </w:r>
      <w:r w:rsidRPr="00264965">
        <w:rPr>
          <w:rFonts w:cs="Times New Roman"/>
          <w:i/>
          <w:szCs w:val="24"/>
        </w:rPr>
        <w:t>Value relevance of accounting ratios</w:t>
      </w:r>
      <w:r w:rsidRPr="00264965">
        <w:rPr>
          <w:rFonts w:cs="Times New Roman"/>
          <w:szCs w:val="24"/>
        </w:rPr>
        <w:t xml:space="preserve">: Evidence from Sri Lanka. Proceedings of the Third International Symposium, SEUSL: </w:t>
      </w:r>
      <w:proofErr w:type="spellStart"/>
      <w:r w:rsidRPr="00264965">
        <w:rPr>
          <w:rFonts w:cs="Times New Roman"/>
          <w:szCs w:val="24"/>
        </w:rPr>
        <w:t>Oluvil</w:t>
      </w:r>
      <w:proofErr w:type="spellEnd"/>
      <w:r w:rsidRPr="00264965">
        <w:rPr>
          <w:rFonts w:cs="Times New Roman"/>
          <w:szCs w:val="24"/>
        </w:rPr>
        <w:t>, Sri Lanka.</w:t>
      </w:r>
    </w:p>
    <w:p w14:paraId="389CD18D" w14:textId="77777777" w:rsidR="000C1151" w:rsidRPr="00264965" w:rsidRDefault="000C1151" w:rsidP="000C1151">
      <w:pPr>
        <w:spacing w:line="240" w:lineRule="auto"/>
        <w:ind w:left="851" w:hanging="851"/>
        <w:rPr>
          <w:rFonts w:cs="Times New Roman"/>
          <w:szCs w:val="24"/>
        </w:rPr>
      </w:pPr>
      <w:r w:rsidRPr="00264965">
        <w:rPr>
          <w:rFonts w:cs="Times New Roman"/>
          <w:szCs w:val="24"/>
        </w:rPr>
        <w:t xml:space="preserve">Miller, M.H. &amp; Modigliani, F. (1961). Dividend policy, growth, and the valuation of shares. </w:t>
      </w:r>
      <w:r w:rsidRPr="00264965">
        <w:rPr>
          <w:rFonts w:cs="Times New Roman"/>
          <w:i/>
          <w:szCs w:val="24"/>
        </w:rPr>
        <w:t>The Journal of Business</w:t>
      </w:r>
      <w:r w:rsidRPr="00264965">
        <w:rPr>
          <w:rFonts w:cs="Times New Roman"/>
          <w:szCs w:val="24"/>
        </w:rPr>
        <w:t>, 34, 411-433.</w:t>
      </w:r>
    </w:p>
    <w:p w14:paraId="731FD6D3" w14:textId="77777777" w:rsidR="000C1151" w:rsidRPr="009336ED" w:rsidRDefault="000C1151" w:rsidP="000C1151">
      <w:pPr>
        <w:autoSpaceDE w:val="0"/>
        <w:autoSpaceDN w:val="0"/>
        <w:adjustRightInd w:val="0"/>
        <w:spacing w:line="240" w:lineRule="auto"/>
        <w:ind w:left="720" w:hanging="720"/>
        <w:rPr>
          <w:rFonts w:eastAsia="Times New Roman" w:cs="Times New Roman"/>
          <w:szCs w:val="24"/>
          <w:lang w:val="en-GB" w:eastAsia="en-GB"/>
        </w:rPr>
      </w:pPr>
      <w:r w:rsidRPr="009336ED">
        <w:rPr>
          <w:rFonts w:eastAsia="Times New Roman" w:cs="Times New Roman"/>
          <w:szCs w:val="24"/>
          <w:lang w:val="en-GB" w:eastAsia="en-GB"/>
        </w:rPr>
        <w:t xml:space="preserve">Musallam, S. R. (2018). Exploring the relationship between financial ratios and market stock returns. </w:t>
      </w:r>
      <w:r w:rsidRPr="009336ED">
        <w:rPr>
          <w:rFonts w:eastAsia="Times New Roman" w:cs="Times New Roman"/>
          <w:i/>
          <w:iCs/>
          <w:szCs w:val="24"/>
          <w:lang w:val="en-GB" w:eastAsia="en-GB"/>
        </w:rPr>
        <w:t>Eurasian Journal of Business and Economics</w:t>
      </w:r>
      <w:r w:rsidRPr="009336ED">
        <w:rPr>
          <w:rFonts w:eastAsia="Times New Roman" w:cs="Times New Roman"/>
          <w:szCs w:val="24"/>
          <w:lang w:val="en-GB" w:eastAsia="en-GB"/>
        </w:rPr>
        <w:t xml:space="preserve">, </w:t>
      </w:r>
      <w:r w:rsidRPr="009336ED">
        <w:rPr>
          <w:rFonts w:eastAsia="Times New Roman" w:cs="Times New Roman"/>
          <w:i/>
          <w:iCs/>
          <w:szCs w:val="24"/>
          <w:lang w:val="en-GB" w:eastAsia="en-GB"/>
        </w:rPr>
        <w:t>11</w:t>
      </w:r>
      <w:r w:rsidRPr="009336ED">
        <w:rPr>
          <w:rFonts w:eastAsia="Times New Roman" w:cs="Times New Roman"/>
          <w:szCs w:val="24"/>
          <w:lang w:val="en-GB" w:eastAsia="en-GB"/>
        </w:rPr>
        <w:t>(21), 101-116.</w:t>
      </w:r>
    </w:p>
    <w:p w14:paraId="27815D3B" w14:textId="77777777" w:rsidR="000C1151" w:rsidRPr="00264965" w:rsidRDefault="000C1151" w:rsidP="000C1151">
      <w:pPr>
        <w:spacing w:line="240" w:lineRule="auto"/>
        <w:ind w:left="851" w:hanging="851"/>
        <w:rPr>
          <w:rFonts w:cs="Times New Roman"/>
          <w:szCs w:val="24"/>
        </w:rPr>
      </w:pPr>
      <w:r w:rsidRPr="00264965">
        <w:rPr>
          <w:rFonts w:cs="Times New Roman"/>
          <w:szCs w:val="24"/>
        </w:rPr>
        <w:t xml:space="preserve">Nguyen, T., Nguyen, H., Tran, Q., &amp; Le, Q. (2020). Dividend policy and share price volatility: empirical evidence from Vietnam. </w:t>
      </w:r>
      <w:r w:rsidRPr="00264965">
        <w:rPr>
          <w:rFonts w:cs="Times New Roman"/>
          <w:i/>
          <w:szCs w:val="24"/>
        </w:rPr>
        <w:t>Accounting</w:t>
      </w:r>
      <w:r w:rsidRPr="00264965">
        <w:rPr>
          <w:rFonts w:cs="Times New Roman"/>
          <w:szCs w:val="24"/>
        </w:rPr>
        <w:t xml:space="preserve">, </w:t>
      </w:r>
      <w:r w:rsidRPr="00264965">
        <w:rPr>
          <w:rFonts w:cs="Times New Roman"/>
          <w:i/>
          <w:szCs w:val="24"/>
        </w:rPr>
        <w:t>6</w:t>
      </w:r>
      <w:r w:rsidRPr="00264965">
        <w:rPr>
          <w:rFonts w:cs="Times New Roman"/>
          <w:szCs w:val="24"/>
        </w:rPr>
        <w:t>(2), 67-78.</w:t>
      </w:r>
    </w:p>
    <w:p w14:paraId="28E26E96" w14:textId="77777777" w:rsidR="000C1151" w:rsidRPr="00264965" w:rsidRDefault="000C1151" w:rsidP="000C1151">
      <w:pPr>
        <w:spacing w:line="240" w:lineRule="auto"/>
        <w:ind w:left="851" w:hanging="851"/>
        <w:rPr>
          <w:rFonts w:cs="Times New Roman"/>
          <w:szCs w:val="24"/>
        </w:rPr>
      </w:pPr>
      <w:r w:rsidRPr="00264965">
        <w:rPr>
          <w:rFonts w:cs="Times New Roman"/>
          <w:szCs w:val="24"/>
        </w:rPr>
        <w:t>Ni, W. (2017). Research on ownership structure and stock price fluctuation. In </w:t>
      </w:r>
      <w:r w:rsidRPr="00264965">
        <w:rPr>
          <w:rFonts w:cs="Times New Roman"/>
          <w:i/>
          <w:iCs/>
          <w:szCs w:val="24"/>
        </w:rPr>
        <w:t>2017 7th International Conference on Education, Management, Computer and Society (EMCS 2017)</w:t>
      </w:r>
      <w:r w:rsidRPr="00264965">
        <w:rPr>
          <w:rFonts w:cs="Times New Roman"/>
          <w:szCs w:val="24"/>
        </w:rPr>
        <w:t> (pp. 438-442). Atlantis Press.</w:t>
      </w:r>
    </w:p>
    <w:p w14:paraId="11B93548" w14:textId="77777777" w:rsidR="000C1151" w:rsidRPr="00264965" w:rsidRDefault="000C1151" w:rsidP="000C1151">
      <w:pPr>
        <w:spacing w:line="240" w:lineRule="auto"/>
        <w:ind w:left="851" w:hanging="851"/>
        <w:rPr>
          <w:rFonts w:cs="Times New Roman"/>
          <w:szCs w:val="24"/>
        </w:rPr>
      </w:pPr>
      <w:proofErr w:type="spellStart"/>
      <w:r w:rsidRPr="00264965">
        <w:rPr>
          <w:rFonts w:cs="Times New Roman"/>
          <w:szCs w:val="24"/>
        </w:rPr>
        <w:t>Olweny</w:t>
      </w:r>
      <w:proofErr w:type="spellEnd"/>
      <w:r w:rsidRPr="00264965">
        <w:rPr>
          <w:rFonts w:cs="Times New Roman"/>
          <w:szCs w:val="24"/>
        </w:rPr>
        <w:t xml:space="preserve">, T., &amp; Omondi, K. (2011). The effect of macro-economic factors on stock return volatility in the Nairobi Securities Exchange, Kenya. </w:t>
      </w:r>
      <w:r w:rsidRPr="00264965">
        <w:rPr>
          <w:rFonts w:cs="Times New Roman"/>
          <w:i/>
          <w:szCs w:val="24"/>
        </w:rPr>
        <w:t>Economics and Finance</w:t>
      </w:r>
      <w:r w:rsidRPr="00264965">
        <w:rPr>
          <w:rFonts w:cs="Times New Roman"/>
          <w:szCs w:val="24"/>
        </w:rPr>
        <w:t xml:space="preserve"> </w:t>
      </w:r>
      <w:r w:rsidRPr="00264965">
        <w:rPr>
          <w:rFonts w:cs="Times New Roman"/>
          <w:i/>
          <w:szCs w:val="24"/>
        </w:rPr>
        <w:t>review</w:t>
      </w:r>
      <w:r w:rsidRPr="00264965">
        <w:rPr>
          <w:rFonts w:cs="Times New Roman"/>
          <w:szCs w:val="24"/>
        </w:rPr>
        <w:t>,</w:t>
      </w:r>
      <w:r w:rsidRPr="00264965">
        <w:rPr>
          <w:rFonts w:cs="Times New Roman"/>
          <w:i/>
          <w:szCs w:val="24"/>
        </w:rPr>
        <w:t xml:space="preserve"> 1</w:t>
      </w:r>
      <w:r w:rsidRPr="00264965">
        <w:rPr>
          <w:rFonts w:cs="Times New Roman"/>
          <w:szCs w:val="24"/>
        </w:rPr>
        <w:t>(10), 34-48.</w:t>
      </w:r>
    </w:p>
    <w:p w14:paraId="093DB4E5" w14:textId="77777777" w:rsidR="000C1151" w:rsidRPr="00264965" w:rsidRDefault="000C1151" w:rsidP="000C1151">
      <w:pPr>
        <w:spacing w:line="240" w:lineRule="auto"/>
        <w:ind w:left="851" w:hanging="851"/>
        <w:rPr>
          <w:rFonts w:cs="Times New Roman"/>
          <w:i/>
          <w:szCs w:val="24"/>
        </w:rPr>
      </w:pPr>
      <w:r w:rsidRPr="00264965">
        <w:rPr>
          <w:rFonts w:cs="Times New Roman"/>
          <w:szCs w:val="24"/>
        </w:rPr>
        <w:lastRenderedPageBreak/>
        <w:t xml:space="preserve">Onyango, A.O. (2018). </w:t>
      </w:r>
      <w:r w:rsidRPr="00264965">
        <w:rPr>
          <w:rFonts w:cs="Times New Roman"/>
          <w:i/>
          <w:szCs w:val="24"/>
        </w:rPr>
        <w:t>Exchange rate volatility and stock prices of companies listed on</w:t>
      </w:r>
      <w:r w:rsidRPr="00264965">
        <w:rPr>
          <w:rFonts w:cs="Times New Roman"/>
          <w:szCs w:val="24"/>
        </w:rPr>
        <w:t xml:space="preserve"> </w:t>
      </w:r>
      <w:r w:rsidRPr="00264965">
        <w:rPr>
          <w:rFonts w:cs="Times New Roman"/>
          <w:i/>
          <w:szCs w:val="24"/>
        </w:rPr>
        <w:t>Nairobi securities exchange.</w:t>
      </w:r>
    </w:p>
    <w:p w14:paraId="1F516F57" w14:textId="77777777" w:rsidR="000C1151" w:rsidRPr="00264965" w:rsidRDefault="000C1151" w:rsidP="000C1151">
      <w:pPr>
        <w:spacing w:line="240" w:lineRule="auto"/>
        <w:ind w:left="851" w:hanging="851"/>
        <w:rPr>
          <w:rFonts w:cs="Times New Roman"/>
          <w:szCs w:val="24"/>
        </w:rPr>
      </w:pPr>
      <w:r w:rsidRPr="00264965">
        <w:rPr>
          <w:rFonts w:cs="Times New Roman"/>
          <w:szCs w:val="24"/>
        </w:rPr>
        <w:t xml:space="preserve">Ouma, W.N. &amp; </w:t>
      </w:r>
      <w:proofErr w:type="spellStart"/>
      <w:r w:rsidRPr="00264965">
        <w:rPr>
          <w:rFonts w:cs="Times New Roman"/>
          <w:szCs w:val="24"/>
        </w:rPr>
        <w:t>Muriu</w:t>
      </w:r>
      <w:proofErr w:type="spellEnd"/>
      <w:r w:rsidRPr="00264965">
        <w:rPr>
          <w:rFonts w:cs="Times New Roman"/>
          <w:szCs w:val="24"/>
        </w:rPr>
        <w:t xml:space="preserve">, P. (2014). The impact of macroeconomic variables on stock market returns in Kenya. </w:t>
      </w:r>
      <w:r w:rsidRPr="00264965">
        <w:rPr>
          <w:rFonts w:cs="Times New Roman"/>
          <w:i/>
          <w:szCs w:val="24"/>
        </w:rPr>
        <w:t>International Journal of Business and Commerce</w:t>
      </w:r>
      <w:r w:rsidRPr="00264965">
        <w:rPr>
          <w:rFonts w:cs="Times New Roman"/>
          <w:szCs w:val="24"/>
        </w:rPr>
        <w:t>, 3(11).</w:t>
      </w:r>
    </w:p>
    <w:p w14:paraId="12290E49" w14:textId="77777777" w:rsidR="000C1151" w:rsidRPr="009336ED" w:rsidRDefault="000C1151" w:rsidP="000C1151">
      <w:pPr>
        <w:spacing w:line="240" w:lineRule="auto"/>
        <w:ind w:left="720" w:hanging="720"/>
        <w:jc w:val="left"/>
        <w:rPr>
          <w:rFonts w:eastAsia="Times New Roman" w:cs="Times New Roman"/>
          <w:szCs w:val="24"/>
          <w:lang w:val="en-GB" w:eastAsia="en-GB"/>
        </w:rPr>
      </w:pPr>
      <w:r w:rsidRPr="009336ED">
        <w:rPr>
          <w:rFonts w:eastAsia="Times New Roman" w:cs="Times New Roman"/>
          <w:szCs w:val="24"/>
          <w:lang w:val="en-GB" w:eastAsia="en-GB"/>
        </w:rPr>
        <w:t xml:space="preserve">Ozo, F. K., &amp; Arun, T. G. (2019). Stock market reaction to cash dividends: evidence from the Nigerian stock market. </w:t>
      </w:r>
      <w:r w:rsidRPr="009336ED">
        <w:rPr>
          <w:rFonts w:eastAsia="Times New Roman" w:cs="Times New Roman"/>
          <w:i/>
          <w:iCs/>
          <w:szCs w:val="24"/>
          <w:lang w:val="en-GB" w:eastAsia="en-GB"/>
        </w:rPr>
        <w:t>Managerial Finance</w:t>
      </w:r>
      <w:r w:rsidRPr="009336ED">
        <w:rPr>
          <w:rFonts w:eastAsia="Times New Roman" w:cs="Times New Roman"/>
          <w:szCs w:val="24"/>
          <w:lang w:val="en-GB" w:eastAsia="en-GB"/>
        </w:rPr>
        <w:t>.</w:t>
      </w:r>
    </w:p>
    <w:p w14:paraId="4C15CA67" w14:textId="77777777" w:rsidR="000C1151" w:rsidRPr="00264965" w:rsidRDefault="000C1151" w:rsidP="000C1151">
      <w:pPr>
        <w:spacing w:line="240" w:lineRule="auto"/>
        <w:ind w:left="851" w:hanging="851"/>
        <w:rPr>
          <w:rFonts w:cs="Times New Roman"/>
          <w:i/>
          <w:iCs/>
          <w:szCs w:val="24"/>
          <w:lang w:val="en-GB"/>
        </w:rPr>
      </w:pPr>
      <w:r w:rsidRPr="00264965">
        <w:rPr>
          <w:rFonts w:cs="Times New Roman"/>
          <w:szCs w:val="24"/>
        </w:rPr>
        <w:t xml:space="preserve">Prasad, H., &amp; </w:t>
      </w:r>
      <w:proofErr w:type="spellStart"/>
      <w:r w:rsidRPr="00264965">
        <w:rPr>
          <w:rFonts w:cs="Times New Roman"/>
          <w:szCs w:val="24"/>
        </w:rPr>
        <w:t>Shrimal</w:t>
      </w:r>
      <w:proofErr w:type="spellEnd"/>
      <w:r w:rsidRPr="00264965">
        <w:rPr>
          <w:rFonts w:cs="Times New Roman"/>
          <w:szCs w:val="24"/>
        </w:rPr>
        <w:t>, K. (2015). An Empirical Study on Effect of Profitability and Market Value Ratios on Market Capitalization of Infrastructural Companies in India. </w:t>
      </w:r>
      <w:r w:rsidRPr="00264965">
        <w:rPr>
          <w:rFonts w:cs="Times New Roman"/>
          <w:i/>
          <w:iCs/>
          <w:szCs w:val="24"/>
        </w:rPr>
        <w:t>GJRA-Global Journal for Research Analyses</w:t>
      </w:r>
      <w:r w:rsidRPr="00264965">
        <w:rPr>
          <w:rFonts w:cs="Times New Roman"/>
          <w:szCs w:val="24"/>
        </w:rPr>
        <w:t>, </w:t>
      </w:r>
      <w:r w:rsidRPr="00264965">
        <w:rPr>
          <w:rFonts w:cs="Times New Roman"/>
          <w:i/>
          <w:iCs/>
          <w:szCs w:val="24"/>
        </w:rPr>
        <w:t>4</w:t>
      </w:r>
      <w:r w:rsidRPr="00264965">
        <w:rPr>
          <w:rFonts w:cs="Times New Roman"/>
          <w:szCs w:val="24"/>
        </w:rPr>
        <w:t>(5), 95-97.</w:t>
      </w:r>
      <w:r w:rsidRPr="00264965">
        <w:rPr>
          <w:rFonts w:cs="Times New Roman"/>
          <w:szCs w:val="24"/>
          <w:lang w:val="en-GB"/>
        </w:rPr>
        <w:t xml:space="preserve"> preferences for stock characteristics”, </w:t>
      </w:r>
      <w:r w:rsidRPr="00264965">
        <w:rPr>
          <w:rFonts w:cs="Times New Roman"/>
          <w:i/>
          <w:iCs/>
          <w:szCs w:val="24"/>
          <w:lang w:val="en-GB"/>
        </w:rPr>
        <w:t>Accounting and Finance</w:t>
      </w:r>
      <w:r w:rsidRPr="00264965">
        <w:rPr>
          <w:rFonts w:cs="Times New Roman"/>
          <w:szCs w:val="24"/>
          <w:lang w:val="en-GB"/>
        </w:rPr>
        <w:t xml:space="preserve">, 46, pp.169-190. </w:t>
      </w:r>
      <w:r w:rsidRPr="00264965">
        <w:rPr>
          <w:rFonts w:cs="Times New Roman"/>
          <w:i/>
          <w:iCs/>
          <w:szCs w:val="24"/>
          <w:lang w:val="en-GB"/>
        </w:rPr>
        <w:t xml:space="preserve">Quarterly Journal of Economics, </w:t>
      </w:r>
      <w:r w:rsidRPr="00264965">
        <w:rPr>
          <w:rFonts w:cs="Times New Roman"/>
          <w:szCs w:val="24"/>
          <w:lang w:val="en-GB"/>
        </w:rPr>
        <w:t>pp.229-259</w:t>
      </w:r>
      <w:r w:rsidRPr="00264965">
        <w:rPr>
          <w:rFonts w:cs="Times New Roman"/>
          <w:i/>
          <w:iCs/>
          <w:szCs w:val="24"/>
          <w:lang w:val="en-GB"/>
        </w:rPr>
        <w:t>.</w:t>
      </w:r>
    </w:p>
    <w:p w14:paraId="7B02C0FC" w14:textId="77777777" w:rsidR="000C1151" w:rsidRPr="00264965" w:rsidRDefault="000C1151" w:rsidP="000C1151">
      <w:pPr>
        <w:spacing w:line="240" w:lineRule="auto"/>
        <w:ind w:left="851" w:hanging="851"/>
        <w:rPr>
          <w:rFonts w:cs="Times New Roman"/>
          <w:szCs w:val="24"/>
        </w:rPr>
      </w:pPr>
      <w:r w:rsidRPr="00264965">
        <w:rPr>
          <w:rFonts w:cs="Times New Roman"/>
          <w:szCs w:val="24"/>
        </w:rPr>
        <w:t>Rubin, A., &amp; Smith, D. R. (2009). Institutional ownership, volatility and dividends. </w:t>
      </w:r>
      <w:r w:rsidRPr="00264965">
        <w:rPr>
          <w:rFonts w:cs="Times New Roman"/>
          <w:i/>
          <w:iCs/>
          <w:szCs w:val="24"/>
        </w:rPr>
        <w:t>Journal of Banking &amp; Finance</w:t>
      </w:r>
      <w:r w:rsidRPr="00264965">
        <w:rPr>
          <w:rFonts w:cs="Times New Roman"/>
          <w:szCs w:val="24"/>
        </w:rPr>
        <w:t>, </w:t>
      </w:r>
      <w:r w:rsidRPr="00264965">
        <w:rPr>
          <w:rFonts w:cs="Times New Roman"/>
          <w:i/>
          <w:iCs/>
          <w:szCs w:val="24"/>
        </w:rPr>
        <w:t>33</w:t>
      </w:r>
      <w:r w:rsidRPr="00264965">
        <w:rPr>
          <w:rFonts w:cs="Times New Roman"/>
          <w:szCs w:val="24"/>
        </w:rPr>
        <w:t>(4), 627-639.</w:t>
      </w:r>
    </w:p>
    <w:p w14:paraId="33B26F25" w14:textId="77777777" w:rsidR="000C1151" w:rsidRPr="00264965" w:rsidRDefault="000C1151" w:rsidP="000C1151">
      <w:pPr>
        <w:spacing w:line="240" w:lineRule="auto"/>
        <w:ind w:left="851" w:hanging="851"/>
        <w:rPr>
          <w:rFonts w:cs="Times New Roman"/>
          <w:szCs w:val="24"/>
        </w:rPr>
      </w:pPr>
      <w:r w:rsidRPr="00264965">
        <w:rPr>
          <w:rFonts w:cs="Times New Roman"/>
          <w:szCs w:val="24"/>
        </w:rPr>
        <w:t xml:space="preserve">Singh, A. &amp; </w:t>
      </w:r>
      <w:proofErr w:type="spellStart"/>
      <w:r w:rsidRPr="00264965">
        <w:rPr>
          <w:rFonts w:cs="Times New Roman"/>
          <w:szCs w:val="24"/>
        </w:rPr>
        <w:t>Kansil</w:t>
      </w:r>
      <w:proofErr w:type="spellEnd"/>
      <w:r w:rsidRPr="00264965">
        <w:rPr>
          <w:rFonts w:cs="Times New Roman"/>
          <w:szCs w:val="24"/>
        </w:rPr>
        <w:t>, R. (2018). Institutional ownership and firm performance: evidence from Indian panel data. International Journal of Business and Emerging Markets. 10. 250. 10.1504/IJBEM.2018.10013055.</w:t>
      </w:r>
    </w:p>
    <w:p w14:paraId="5F5EB1FC" w14:textId="77777777" w:rsidR="000C1151" w:rsidRPr="00264965" w:rsidRDefault="000C1151" w:rsidP="000C1151">
      <w:pPr>
        <w:spacing w:line="240" w:lineRule="auto"/>
        <w:ind w:left="851" w:hanging="851"/>
        <w:rPr>
          <w:rFonts w:cs="Times New Roman"/>
          <w:szCs w:val="24"/>
        </w:rPr>
      </w:pPr>
      <w:r w:rsidRPr="00264965">
        <w:rPr>
          <w:rFonts w:cs="Times New Roman"/>
          <w:szCs w:val="24"/>
        </w:rPr>
        <w:t xml:space="preserve">Spence, M.A. (1973). Job Market Signaling. </w:t>
      </w:r>
      <w:r w:rsidRPr="00264965">
        <w:rPr>
          <w:rFonts w:cs="Times New Roman"/>
          <w:i/>
          <w:szCs w:val="24"/>
        </w:rPr>
        <w:t>Quarterly Journal of Economics</w:t>
      </w:r>
      <w:r w:rsidRPr="00264965">
        <w:rPr>
          <w:rFonts w:cs="Times New Roman"/>
          <w:szCs w:val="24"/>
        </w:rPr>
        <w:t>, 87(3), 355 - 374.</w:t>
      </w:r>
    </w:p>
    <w:p w14:paraId="4EDEFEB1" w14:textId="77777777" w:rsidR="000C1151" w:rsidRPr="00264965" w:rsidRDefault="000C1151" w:rsidP="000C1151">
      <w:pPr>
        <w:spacing w:line="240" w:lineRule="auto"/>
        <w:ind w:left="851" w:hanging="851"/>
        <w:rPr>
          <w:rFonts w:cs="Times New Roman"/>
          <w:szCs w:val="24"/>
        </w:rPr>
      </w:pPr>
      <w:r w:rsidRPr="00264965">
        <w:rPr>
          <w:rFonts w:cs="Times New Roman"/>
          <w:szCs w:val="24"/>
        </w:rPr>
        <w:t>Torres-Reyna, O. (2017). Panel Data Analysis Fixed and Random Effects using Stata (v. 4.2) 2007. </w:t>
      </w:r>
      <w:r w:rsidRPr="00264965">
        <w:rPr>
          <w:rFonts w:cs="Times New Roman"/>
          <w:i/>
          <w:iCs/>
          <w:szCs w:val="24"/>
        </w:rPr>
        <w:t>URL: https://dss.princeton.edu/training/Panel101.pdf</w:t>
      </w:r>
      <w:r w:rsidRPr="00264965">
        <w:rPr>
          <w:rFonts w:cs="Times New Roman"/>
          <w:szCs w:val="24"/>
        </w:rPr>
        <w:t>.</w:t>
      </w:r>
    </w:p>
    <w:p w14:paraId="5BDDA697" w14:textId="77777777" w:rsidR="000C1151" w:rsidRPr="00264965" w:rsidRDefault="000C1151" w:rsidP="000C1151">
      <w:pPr>
        <w:spacing w:line="240" w:lineRule="auto"/>
        <w:ind w:left="720" w:hanging="720"/>
        <w:jc w:val="left"/>
        <w:rPr>
          <w:rFonts w:cs="Times New Roman"/>
          <w:szCs w:val="24"/>
        </w:rPr>
      </w:pPr>
      <w:r w:rsidRPr="009336ED">
        <w:rPr>
          <w:rFonts w:eastAsia="Times New Roman" w:cs="Times New Roman"/>
          <w:szCs w:val="24"/>
          <w:lang w:val="en-GB" w:eastAsia="en-GB"/>
        </w:rPr>
        <w:t>Vagner, I. (2020). What market value ratios can tell you about a company.</w:t>
      </w:r>
    </w:p>
    <w:p w14:paraId="2EEFB809" w14:textId="73E06DC8" w:rsidR="009A798F" w:rsidRPr="009A7666" w:rsidRDefault="005D09CF" w:rsidP="006B74D4">
      <w:pPr>
        <w:rPr>
          <w:b/>
          <w:bCs/>
        </w:rPr>
      </w:pPr>
      <w:r w:rsidRPr="009A7666">
        <w:rPr>
          <w:b/>
          <w:bCs/>
        </w:rPr>
        <w:t xml:space="preserve"> </w:t>
      </w:r>
    </w:p>
    <w:sectPr w:rsidR="009A798F" w:rsidRPr="009A7666">
      <w:pgSz w:w="11906" w:h="16838"/>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Math">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45A51602"/>
    <w:multiLevelType w:val="hybridMultilevel"/>
    <w:tmpl w:val="DBFE5482"/>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8357A"/>
    <w:rsid w:val="00076C9B"/>
    <w:rsid w:val="000C1151"/>
    <w:rsid w:val="000D2442"/>
    <w:rsid w:val="000D60C4"/>
    <w:rsid w:val="00192376"/>
    <w:rsid w:val="001E082C"/>
    <w:rsid w:val="001E1A39"/>
    <w:rsid w:val="00274555"/>
    <w:rsid w:val="002C0F8D"/>
    <w:rsid w:val="002C7E7D"/>
    <w:rsid w:val="002E29EB"/>
    <w:rsid w:val="00315673"/>
    <w:rsid w:val="00320CC7"/>
    <w:rsid w:val="003E6B22"/>
    <w:rsid w:val="00413E58"/>
    <w:rsid w:val="00481FAA"/>
    <w:rsid w:val="004A64A9"/>
    <w:rsid w:val="004C434F"/>
    <w:rsid w:val="00501EA2"/>
    <w:rsid w:val="0051775A"/>
    <w:rsid w:val="00557DC6"/>
    <w:rsid w:val="00566790"/>
    <w:rsid w:val="00576F5A"/>
    <w:rsid w:val="00580687"/>
    <w:rsid w:val="005A13ED"/>
    <w:rsid w:val="005C579B"/>
    <w:rsid w:val="005D09CF"/>
    <w:rsid w:val="00665F79"/>
    <w:rsid w:val="0067229F"/>
    <w:rsid w:val="006B74D4"/>
    <w:rsid w:val="006D7661"/>
    <w:rsid w:val="006E5721"/>
    <w:rsid w:val="0070623A"/>
    <w:rsid w:val="007350D4"/>
    <w:rsid w:val="00745D79"/>
    <w:rsid w:val="00771904"/>
    <w:rsid w:val="0078357A"/>
    <w:rsid w:val="007F5ECB"/>
    <w:rsid w:val="00853DB0"/>
    <w:rsid w:val="008F2B96"/>
    <w:rsid w:val="00933941"/>
    <w:rsid w:val="00960B8D"/>
    <w:rsid w:val="009A7666"/>
    <w:rsid w:val="009A798F"/>
    <w:rsid w:val="00A54304"/>
    <w:rsid w:val="00B03023"/>
    <w:rsid w:val="00B2257F"/>
    <w:rsid w:val="00B5497E"/>
    <w:rsid w:val="00B81718"/>
    <w:rsid w:val="00C258A7"/>
    <w:rsid w:val="00C737FD"/>
    <w:rsid w:val="00C849CB"/>
    <w:rsid w:val="00CA079B"/>
    <w:rsid w:val="00D23AE5"/>
    <w:rsid w:val="00D65F8C"/>
    <w:rsid w:val="00DE1405"/>
    <w:rsid w:val="00DE5948"/>
    <w:rsid w:val="00E13B8F"/>
    <w:rsid w:val="00E6439E"/>
    <w:rsid w:val="00F0006E"/>
    <w:rsid w:val="00F3252A"/>
    <w:rsid w:val="00F66B60"/>
    <w:rsid w:val="00FA2D36"/>
    <w:rsid w:val="00FE245A"/>
    <w:rsid w:val="00FF10B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57C7E22"/>
  <w15:chartTrackingRefBased/>
  <w15:docId w15:val="{D34D533C-C1F6-47B6-88AA-C00612E0BAB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FF10B4"/>
    <w:pPr>
      <w:spacing w:line="360" w:lineRule="auto"/>
      <w:jc w:val="both"/>
    </w:pPr>
    <w:rPr>
      <w:rFonts w:ascii="Times New Roman" w:hAnsi="Times New Roman"/>
      <w:sz w:val="24"/>
      <w:lang w:val="en-US"/>
    </w:rPr>
  </w:style>
  <w:style w:type="paragraph" w:styleId="Heading2">
    <w:name w:val="heading 2"/>
    <w:basedOn w:val="Normal"/>
    <w:next w:val="Normal"/>
    <w:link w:val="Heading2Char"/>
    <w:uiPriority w:val="9"/>
    <w:unhideWhenUsed/>
    <w:qFormat/>
    <w:rsid w:val="004C434F"/>
    <w:pPr>
      <w:spacing w:after="200" w:line="276" w:lineRule="auto"/>
      <w:outlineLvl w:val="1"/>
    </w:pPr>
    <w:rPr>
      <w:rFonts w:cs="Times New Roman"/>
      <w:b/>
      <w:szCs w:val="24"/>
      <w:lang w:val="en-GB"/>
    </w:rPr>
  </w:style>
  <w:style w:type="paragraph" w:styleId="Heading3">
    <w:name w:val="heading 3"/>
    <w:basedOn w:val="Normal"/>
    <w:next w:val="Normal"/>
    <w:link w:val="Heading3Char"/>
    <w:uiPriority w:val="9"/>
    <w:semiHidden/>
    <w:unhideWhenUsed/>
    <w:qFormat/>
    <w:rsid w:val="00771904"/>
    <w:pPr>
      <w:keepNext/>
      <w:keepLines/>
      <w:spacing w:before="40" w:after="0"/>
      <w:outlineLvl w:val="2"/>
    </w:pPr>
    <w:rPr>
      <w:rFonts w:asciiTheme="majorHAnsi" w:eastAsiaTheme="majorEastAsia" w:hAnsiTheme="majorHAnsi" w:cstheme="majorBidi"/>
      <w:color w:val="1F3763" w:themeColor="accent1" w:themeShade="7F"/>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39"/>
    <w:rsid w:val="0078357A"/>
    <w:pPr>
      <w:spacing w:after="0" w:line="240" w:lineRule="auto"/>
    </w:pPr>
    <w:rPr>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Caption">
    <w:name w:val="caption"/>
    <w:basedOn w:val="Normal"/>
    <w:next w:val="Normal"/>
    <w:uiPriority w:val="35"/>
    <w:unhideWhenUsed/>
    <w:qFormat/>
    <w:rsid w:val="0078357A"/>
    <w:pPr>
      <w:spacing w:after="200" w:line="240" w:lineRule="auto"/>
    </w:pPr>
    <w:rPr>
      <w:i/>
      <w:iCs/>
      <w:color w:val="44546A" w:themeColor="text2"/>
      <w:sz w:val="18"/>
      <w:szCs w:val="18"/>
    </w:rPr>
  </w:style>
  <w:style w:type="paragraph" w:styleId="ListParagraph">
    <w:name w:val="List Paragraph"/>
    <w:basedOn w:val="Normal"/>
    <w:uiPriority w:val="34"/>
    <w:qFormat/>
    <w:rsid w:val="00FA2D36"/>
    <w:pPr>
      <w:ind w:left="720"/>
      <w:contextualSpacing/>
    </w:pPr>
  </w:style>
  <w:style w:type="character" w:customStyle="1" w:styleId="Heading2Char">
    <w:name w:val="Heading 2 Char"/>
    <w:basedOn w:val="DefaultParagraphFont"/>
    <w:link w:val="Heading2"/>
    <w:uiPriority w:val="9"/>
    <w:rsid w:val="004C434F"/>
    <w:rPr>
      <w:rFonts w:ascii="Times New Roman" w:hAnsi="Times New Roman" w:cs="Times New Roman"/>
      <w:b/>
      <w:sz w:val="24"/>
      <w:szCs w:val="24"/>
    </w:rPr>
  </w:style>
  <w:style w:type="paragraph" w:styleId="BodyText">
    <w:name w:val="Body Text"/>
    <w:basedOn w:val="Normal"/>
    <w:link w:val="BodyTextChar"/>
    <w:semiHidden/>
    <w:rsid w:val="004C434F"/>
    <w:pPr>
      <w:spacing w:after="0" w:line="240" w:lineRule="auto"/>
    </w:pPr>
    <w:rPr>
      <w:rFonts w:eastAsia="Times New Roman" w:cs="Times New Roman"/>
      <w:sz w:val="20"/>
      <w:szCs w:val="20"/>
    </w:rPr>
  </w:style>
  <w:style w:type="character" w:customStyle="1" w:styleId="BodyTextChar">
    <w:name w:val="Body Text Char"/>
    <w:basedOn w:val="DefaultParagraphFont"/>
    <w:link w:val="BodyText"/>
    <w:semiHidden/>
    <w:rsid w:val="004C434F"/>
    <w:rPr>
      <w:rFonts w:ascii="Times New Roman" w:eastAsia="Times New Roman" w:hAnsi="Times New Roman" w:cs="Times New Roman"/>
      <w:sz w:val="20"/>
      <w:szCs w:val="20"/>
      <w:lang w:val="en-US"/>
    </w:rPr>
  </w:style>
  <w:style w:type="character" w:customStyle="1" w:styleId="Heading3Char">
    <w:name w:val="Heading 3 Char"/>
    <w:basedOn w:val="DefaultParagraphFont"/>
    <w:link w:val="Heading3"/>
    <w:uiPriority w:val="9"/>
    <w:semiHidden/>
    <w:rsid w:val="00771904"/>
    <w:rPr>
      <w:rFonts w:asciiTheme="majorHAnsi" w:eastAsiaTheme="majorEastAsia" w:hAnsiTheme="majorHAnsi" w:cstheme="majorBidi"/>
      <w:color w:val="1F3763" w:themeColor="accent1" w:themeShade="7F"/>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image" Target="media/image1.pn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10</Pages>
  <Words>3606</Words>
  <Characters>20559</Characters>
  <Application>Microsoft Office Word</Application>
  <DocSecurity>0</DocSecurity>
  <Lines>171</Lines>
  <Paragraphs>48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24117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JOSEPH ANGOTE</cp:lastModifiedBy>
  <cp:revision>2</cp:revision>
  <dcterms:created xsi:type="dcterms:W3CDTF">2022-07-12T13:48:00Z</dcterms:created>
  <dcterms:modified xsi:type="dcterms:W3CDTF">2022-07-12T13:48:00Z</dcterms:modified>
</cp:coreProperties>
</file>